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tblGridChange w:id="0">
          <w:tblGrid>
            <w:gridCol w:w="9360"/>
            <w:gridCol w:w="1"/>
            <w:gridCol w:w="1"/>
          </w:tblGrid>
        </w:tblGridChange>
      </w:tblGrid>
      <w:tr>
        <w:trPr>
          <w:cantSplit w:val="0"/>
          <w:trHeight w:val="2315" w:hRule="atLeast"/>
          <w:tblHeader w:val="0"/>
        </w:trPr>
        <w:tc>
          <w:tcPr>
            <w:gridSpan w:val="3"/>
            <w:tcMar>
              <w:top w:w="100.0" w:type="dxa"/>
              <w:left w:w="100.0" w:type="dxa"/>
              <w:bottom w:w="100.0" w:type="dxa"/>
              <w:right w:w="100.0" w:type="dxa"/>
            </w:tcMar>
            <w:vAlign w:val="top"/>
          </w:tcPr>
          <w:p w:rsidR="00000000" w:rsidDel="00000000" w:rsidP="00000000" w:rsidRDefault="00000000" w:rsidRPr="00000000" w14:paraId="00000002">
            <w:pPr>
              <w:rPr>
                <w:b w:val="1"/>
                <w:color w:val="003c61"/>
                <w:sz w:val="46"/>
                <w:szCs w:val="46"/>
              </w:rPr>
            </w:pPr>
            <w:r w:rsidDel="00000000" w:rsidR="00000000" w:rsidRPr="00000000">
              <w:rPr>
                <w:b w:val="1"/>
                <w:color w:val="003c61"/>
                <w:sz w:val="46"/>
                <w:szCs w:val="46"/>
                <w:rtl w:val="0"/>
              </w:rPr>
              <w:t xml:space="preserve">Oregon Short Term Fund</w:t>
            </w:r>
          </w:p>
          <w:p w:rsidR="00000000" w:rsidDel="00000000" w:rsidP="00000000" w:rsidRDefault="00000000" w:rsidRPr="00000000" w14:paraId="00000003">
            <w:pPr>
              <w:rPr>
                <w:rFonts w:ascii="Georgia" w:cs="Georgia" w:eastAsia="Georgia" w:hAnsi="Georgia"/>
                <w:color w:val="222222"/>
                <w:sz w:val="30"/>
                <w:szCs w:val="30"/>
              </w:rPr>
            </w:pPr>
            <w:r w:rsidDel="00000000" w:rsidR="00000000" w:rsidRPr="00000000">
              <w:rPr>
                <w:rFonts w:ascii="Georgia" w:cs="Georgia" w:eastAsia="Georgia" w:hAnsi="Georgia"/>
                <w:color w:val="222222"/>
                <w:sz w:val="30"/>
                <w:szCs w:val="30"/>
                <w:rtl w:val="0"/>
              </w:rPr>
              <w:t xml:space="preserve">(Oregon State Treasury: email and link to data page)</w:t>
            </w:r>
          </w:p>
          <w:p w:rsidR="00000000" w:rsidDel="00000000" w:rsidP="00000000" w:rsidRDefault="00000000" w:rsidRPr="00000000" w14:paraId="00000004">
            <w:pP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5">
            <w:pPr>
              <w:rPr>
                <w:b w:val="1"/>
                <w:color w:val="003c61"/>
                <w:sz w:val="46"/>
                <w:szCs w:val="46"/>
              </w:rPr>
            </w:pPr>
            <w:r w:rsidDel="00000000" w:rsidR="00000000" w:rsidRPr="00000000">
              <w:rPr>
                <w:b w:val="1"/>
                <w:color w:val="003c61"/>
                <w:sz w:val="46"/>
                <w:szCs w:val="46"/>
                <w:rtl w:val="0"/>
              </w:rPr>
              <w:t xml:space="preserve">Rate Change</w:t>
            </w:r>
          </w:p>
          <w:p w:rsidR="00000000" w:rsidDel="00000000" w:rsidP="00000000" w:rsidRDefault="00000000" w:rsidRPr="00000000" w14:paraId="00000006">
            <w:pP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Effective Tuesday, October 11, 2022, the Oregon Short Term Fund (OSTF) rate will change from 1.90% to 2.20%. Additional information about the OSTF, including historical rate data, is available online </w:t>
            </w:r>
            <w:hyperlink r:id="rId6">
              <w:r w:rsidDel="00000000" w:rsidR="00000000" w:rsidRPr="00000000">
                <w:rPr>
                  <w:rFonts w:ascii="Georgia" w:cs="Georgia" w:eastAsia="Georgia" w:hAnsi="Georgia"/>
                  <w:color w:val="1155cc"/>
                  <w:sz w:val="24"/>
                  <w:szCs w:val="24"/>
                  <w:u w:val="single"/>
                  <w:rtl w:val="0"/>
                </w:rPr>
                <w:t xml:space="preserve">here</w:t>
              </w:r>
            </w:hyperlink>
            <w:r w:rsidDel="00000000" w:rsidR="00000000" w:rsidRPr="00000000">
              <w:rPr>
                <w:rFonts w:ascii="Georgia" w:cs="Georgia" w:eastAsia="Georgia" w:hAnsi="Georgia"/>
                <w:color w:val="222222"/>
                <w:sz w:val="24"/>
                <w:szCs w:val="24"/>
                <w:rtl w:val="0"/>
              </w:rPr>
              <w:t xml:space="preserve">.</w:t>
            </w:r>
          </w:p>
          <w:p w:rsidR="00000000" w:rsidDel="00000000" w:rsidP="00000000" w:rsidRDefault="00000000" w:rsidRPr="00000000" w14:paraId="00000007">
            <w:pPr>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8">
            <w:pP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Link: </w:t>
            </w:r>
            <w:hyperlink r:id="rId7">
              <w:r w:rsidDel="00000000" w:rsidR="00000000" w:rsidRPr="00000000">
                <w:rPr>
                  <w:rFonts w:ascii="Georgia" w:cs="Georgia" w:eastAsia="Georgia" w:hAnsi="Georgia"/>
                  <w:color w:val="1155cc"/>
                  <w:sz w:val="24"/>
                  <w:szCs w:val="24"/>
                  <w:u w:val="single"/>
                  <w:rtl w:val="0"/>
                </w:rPr>
                <w:t xml:space="preserve">https://www.oregon.gov/treasury/public-financial-services/oregon-short-term-funds/pages/default.aspx</w:t>
              </w:r>
            </w:hyperlink>
            <w:r w:rsidDel="00000000" w:rsidR="00000000" w:rsidRPr="00000000">
              <w:rPr>
                <w:rFonts w:ascii="Georgia" w:cs="Georgia" w:eastAsia="Georgia" w:hAnsi="Georgia"/>
                <w:color w:val="222222"/>
                <w:sz w:val="24"/>
                <w:szCs w:val="24"/>
                <w:rtl w:val="0"/>
              </w:rPr>
              <w:t xml:space="preserve"> </w:t>
            </w:r>
          </w:p>
        </w:tc>
      </w:tr>
      <w:tr>
        <w:trPr>
          <w:cantSplit w:val="0"/>
          <w:trHeight w:val="30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B">
            <w:pPr>
              <w:rPr>
                <w:color w:val="222222"/>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tbl>
      <w:tblPr>
        <w:tblStyle w:val="Table2"/>
        <w:tblW w:w="92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230"/>
        <w:tblGridChange w:id="0">
          <w:tblGrid>
            <w:gridCol w:w="9230"/>
          </w:tblGrid>
        </w:tblGridChange>
      </w:tblGrid>
      <w:tr>
        <w:trPr>
          <w:cantSplit w:val="0"/>
          <w:trHeight w:val="1551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r>
          </w:p>
          <w:tbl>
            <w:tblPr>
              <w:tblStyle w:val="Table3"/>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0"/>
              <w:tblGridChange w:id="0">
                <w:tblGrid>
                  <w:gridCol w:w="9000"/>
                </w:tblGrid>
              </w:tblGridChange>
            </w:tblGrid>
            <w:tr>
              <w:trPr>
                <w:cantSplit w:val="0"/>
                <w:trHeight w:val="15315" w:hRule="atLeast"/>
                <w:tblHeader w:val="0"/>
              </w:trPr>
              <w:tc>
                <w:tcPr>
                  <w:shd w:fill="ffffff" w:val="clear"/>
                  <w:tcMar>
                    <w:top w:w="240.0" w:type="dxa"/>
                    <w:left w:w="240.0" w:type="dxa"/>
                    <w:bottom w:w="240.0" w:type="dxa"/>
                    <w:right w:w="240.0" w:type="dxa"/>
                  </w:tcMar>
                  <w:vAlign w:val="top"/>
                </w:tcPr>
                <w:p w:rsidR="00000000" w:rsidDel="00000000" w:rsidP="00000000" w:rsidRDefault="00000000" w:rsidRPr="00000000" w14:paraId="00000010">
                  <w:pPr>
                    <w:rPr>
                      <w:sz w:val="2"/>
                      <w:szCs w:val="2"/>
                    </w:rPr>
                  </w:pPr>
                  <w:r w:rsidDel="00000000" w:rsidR="00000000" w:rsidRPr="00000000">
                    <w:rPr>
                      <w:rtl w:val="0"/>
                    </w:rPr>
                  </w:r>
                </w:p>
                <w:tbl>
                  <w:tblPr>
                    <w:tblStyle w:val="Table4"/>
                    <w:tblW w:w="85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0"/>
                    <w:tblGridChange w:id="0">
                      <w:tblGrid>
                        <w:gridCol w:w="8520"/>
                      </w:tblGrid>
                    </w:tblGridChange>
                  </w:tblGrid>
                  <w:tr>
                    <w:trPr>
                      <w:cantSplit w:val="0"/>
                      <w:trHeight w:val="14835" w:hRule="atLeast"/>
                      <w:tblHeader w:val="0"/>
                    </w:trPr>
                    <w:tc>
                      <w:tcPr>
                        <w:shd w:fill="ffffff" w:val="clear"/>
                        <w:tcMar>
                          <w:top w:w="0.0" w:type="dxa"/>
                          <w:left w:w="0.0" w:type="dxa"/>
                          <w:bottom w:w="0.0" w:type="dxa"/>
                          <w:right w:w="0.0" w:type="dxa"/>
                        </w:tcMar>
                        <w:vAlign w:val="top"/>
                      </w:tcPr>
                      <w:p w:rsidR="00000000" w:rsidDel="00000000" w:rsidP="00000000" w:rsidRDefault="00000000" w:rsidRPr="00000000" w14:paraId="00000011">
                        <w:pPr>
                          <w:rPr>
                            <w:sz w:val="2"/>
                            <w:szCs w:val="2"/>
                          </w:rPr>
                        </w:pPr>
                        <w:r w:rsidDel="00000000" w:rsidR="00000000" w:rsidRPr="00000000">
                          <w:rPr>
                            <w:rtl w:val="0"/>
                          </w:rPr>
                        </w:r>
                      </w:p>
                      <w:tbl>
                        <w:tblPr>
                          <w:tblStyle w:val="Table5"/>
                          <w:tblW w:w="85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0"/>
                          <w:tblGridChange w:id="0">
                            <w:tblGrid>
                              <w:gridCol w:w="8520"/>
                            </w:tblGrid>
                          </w:tblGridChange>
                        </w:tblGrid>
                        <w:tr>
                          <w:trPr>
                            <w:cantSplit w:val="0"/>
                            <w:trHeight w:val="1035" w:hRule="atLeast"/>
                            <w:tblHeader w:val="0"/>
                          </w:trPr>
                          <w:tc>
                            <w:tcPr>
                              <w:shd w:fill="ffffff" w:val="clear"/>
                              <w:tcMar>
                                <w:top w:w="0.0" w:type="dxa"/>
                                <w:left w:w="0.0" w:type="dxa"/>
                                <w:bottom w:w="0.0" w:type="dxa"/>
                                <w:right w:w="0.0" w:type="dxa"/>
                              </w:tcMar>
                              <w:vAlign w:val="top"/>
                            </w:tcPr>
                            <w:p w:rsidR="00000000" w:rsidDel="00000000" w:rsidP="00000000" w:rsidRDefault="00000000" w:rsidRPr="00000000" w14:paraId="00000012">
                              <w:pPr>
                                <w:jc w:val="center"/>
                                <w:rPr>
                                  <w:sz w:val="2"/>
                                  <w:szCs w:val="2"/>
                                </w:rPr>
                              </w:pPr>
                              <w:r w:rsidDel="00000000" w:rsidR="00000000" w:rsidRPr="00000000">
                                <w:rPr>
                                  <w:sz w:val="2"/>
                                  <w:szCs w:val="2"/>
                                </w:rPr>
                                <w:drawing>
                                  <wp:inline distB="114300" distT="114300" distL="114300" distR="114300">
                                    <wp:extent cx="5410200" cy="6604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10200" cy="660400"/>
                                            </a:xfrm>
                                            <a:prstGeom prst="rect"/>
                                            <a:ln/>
                                          </pic:spPr>
                                        </pic:pic>
                                      </a:graphicData>
                                    </a:graphic>
                                  </wp:inline>
                                </w:drawing>
                              </w:r>
                              <w:r w:rsidDel="00000000" w:rsidR="00000000" w:rsidRPr="00000000">
                                <w:rPr>
                                  <w:rtl w:val="0"/>
                                </w:rPr>
                              </w:r>
                            </w:p>
                          </w:tc>
                        </w:tr>
                        <w:tr>
                          <w:trPr>
                            <w:cantSplit w:val="0"/>
                            <w:trHeight w:val="13800" w:hRule="atLeast"/>
                            <w:tblHeader w:val="0"/>
                          </w:trPr>
                          <w:tc>
                            <w:tcPr>
                              <w:shd w:fill="ffffff" w:val="clear"/>
                              <w:tcMar>
                                <w:top w:w="120.0" w:type="dxa"/>
                                <w:left w:w="240.0" w:type="dxa"/>
                                <w:bottom w:w="120.0" w:type="dxa"/>
                                <w:right w:w="240.0" w:type="dxa"/>
                              </w:tcMar>
                              <w:vAlign w:val="top"/>
                            </w:tcPr>
                            <w:p w:rsidR="00000000" w:rsidDel="00000000" w:rsidP="00000000" w:rsidRDefault="00000000" w:rsidRPr="00000000" w14:paraId="00000013">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Courtesy Email on Council Approval of Final Order on Site Certificate for the Boardman to Hemingway Transmission Line</w:t>
                              </w:r>
                            </w:p>
                            <w:p w:rsidR="00000000" w:rsidDel="00000000" w:rsidP="00000000" w:rsidRDefault="00000000" w:rsidRPr="00000000" w14:paraId="00000014">
                              <w:pPr>
                                <w:rPr>
                                  <w:sz w:val="18"/>
                                  <w:szCs w:val="18"/>
                                </w:rPr>
                              </w:pPr>
                              <w:r w:rsidDel="00000000" w:rsidR="00000000" w:rsidRPr="00000000">
                                <w:rPr>
                                  <w:sz w:val="18"/>
                                  <w:szCs w:val="18"/>
                                  <w:rtl w:val="0"/>
                                </w:rPr>
                                <w:t xml:space="preserve"> </w:t>
                              </w:r>
                            </w:p>
                            <w:p w:rsidR="00000000" w:rsidDel="00000000" w:rsidP="00000000" w:rsidRDefault="00000000" w:rsidRPr="00000000" w14:paraId="00000015">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Description:</w:t>
                              </w:r>
                            </w:p>
                            <w:p w:rsidR="00000000" w:rsidDel="00000000" w:rsidP="00000000" w:rsidRDefault="00000000" w:rsidRPr="00000000" w14:paraId="00000016">
                              <w:pPr>
                                <w:rPr>
                                  <w:sz w:val="18"/>
                                  <w:szCs w:val="18"/>
                                </w:rPr>
                              </w:pPr>
                              <w:r w:rsidDel="00000000" w:rsidR="00000000" w:rsidRPr="00000000">
                                <w:rPr>
                                  <w:sz w:val="18"/>
                                  <w:szCs w:val="18"/>
                                  <w:rtl w:val="0"/>
                                </w:rPr>
                                <w:t xml:space="preserve"> </w:t>
                              </w:r>
                            </w:p>
                            <w:p w:rsidR="00000000" w:rsidDel="00000000" w:rsidP="00000000" w:rsidRDefault="00000000" w:rsidRPr="00000000" w14:paraId="0000001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At its September 27, 2022 meeting, the Energy Facility Siting Council (Council) approved the Final Order on the Application for Site Certificate (ASC), subject to site certificate conditions, for the Boardman to Hemingway Transmission Line (facility) and granted issuance of a site certificate for the construction, operation, and retirement of the facility. The certificate holder is Idaho Power Company (applicant), a wholly owned subsidiary of IDACORP, Inc. </w:t>
                              </w:r>
                            </w:p>
                            <w:p w:rsidR="00000000" w:rsidDel="00000000" w:rsidP="00000000" w:rsidRDefault="00000000" w:rsidRPr="00000000" w14:paraId="00000018">
                              <w:pPr>
                                <w:rPr>
                                  <w:sz w:val="18"/>
                                  <w:szCs w:val="18"/>
                                </w:rPr>
                              </w:pPr>
                              <w:r w:rsidDel="00000000" w:rsidR="00000000" w:rsidRPr="00000000">
                                <w:rPr>
                                  <w:sz w:val="18"/>
                                  <w:szCs w:val="18"/>
                                  <w:rtl w:val="0"/>
                                </w:rPr>
                                <w:t xml:space="preserve"> </w:t>
                              </w:r>
                            </w:p>
                            <w:p w:rsidR="00000000" w:rsidDel="00000000" w:rsidP="00000000" w:rsidRDefault="00000000" w:rsidRPr="00000000" w14:paraId="0000001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approved facility is a primarily 500 kilovolt (kV) transmission line spanning approximately 273 miles in Oregon. The facility includes the approved route and alternative routes and crosses five Oregon counties; Morrow, Umatilla, Union, Baker, and Malheur. The facility also includes related or supporting facilities including temporary and permanent access roads, communication stations, the Longhorn substation, pulling and tensioning sites, and multi-use areas used for construction. </w:t>
                              </w:r>
                            </w:p>
                            <w:p w:rsidR="00000000" w:rsidDel="00000000" w:rsidP="00000000" w:rsidRDefault="00000000" w:rsidRPr="00000000" w14:paraId="0000001A">
                              <w:pPr>
                                <w:rPr>
                                  <w:sz w:val="18"/>
                                  <w:szCs w:val="18"/>
                                </w:rPr>
                              </w:pPr>
                              <w:r w:rsidDel="00000000" w:rsidR="00000000" w:rsidRPr="00000000">
                                <w:rPr>
                                  <w:sz w:val="18"/>
                                  <w:szCs w:val="18"/>
                                  <w:rtl w:val="0"/>
                                </w:rPr>
                                <w:t xml:space="preserve"> </w:t>
                              </w:r>
                            </w:p>
                            <w:p w:rsidR="00000000" w:rsidDel="00000000" w:rsidP="00000000" w:rsidRDefault="00000000" w:rsidRPr="00000000" w14:paraId="0000001B">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Mailed delivery service of the Final Order on ASC to parties and limited parties in the contested case occurred on October 7, 2022, pursuant to ORS 469.403 and ORS 183.470. Only parties or limited parties in the contested case may file a petition for rehearing or appeal under the provisions of ORS 469.403. The deadline for the certificate holder to commence construction is October 6, 2026. The certificate holder must complete construction of the facility within four years of the construction commencement date.</w:t>
                              </w:r>
                            </w:p>
                            <w:p w:rsidR="00000000" w:rsidDel="00000000" w:rsidP="00000000" w:rsidRDefault="00000000" w:rsidRPr="00000000" w14:paraId="0000001C">
                              <w:pPr>
                                <w:rPr>
                                  <w:sz w:val="18"/>
                                  <w:szCs w:val="18"/>
                                </w:rPr>
                              </w:pPr>
                              <w:r w:rsidDel="00000000" w:rsidR="00000000" w:rsidRPr="00000000">
                                <w:rPr>
                                  <w:sz w:val="18"/>
                                  <w:szCs w:val="18"/>
                                  <w:rtl w:val="0"/>
                                </w:rPr>
                                <w:t xml:space="preserve"> </w:t>
                              </w:r>
                            </w:p>
                            <w:p w:rsidR="00000000" w:rsidDel="00000000" w:rsidP="00000000" w:rsidRDefault="00000000" w:rsidRPr="00000000" w14:paraId="0000001D">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Additional Information:</w:t>
                              </w:r>
                            </w:p>
                            <w:p w:rsidR="00000000" w:rsidDel="00000000" w:rsidP="00000000" w:rsidRDefault="00000000" w:rsidRPr="00000000" w14:paraId="0000001E">
                              <w:pPr>
                                <w:rPr>
                                  <w:sz w:val="18"/>
                                  <w:szCs w:val="18"/>
                                </w:rPr>
                              </w:pPr>
                              <w:r w:rsidDel="00000000" w:rsidR="00000000" w:rsidRPr="00000000">
                                <w:rPr>
                                  <w:sz w:val="18"/>
                                  <w:szCs w:val="18"/>
                                  <w:rtl w:val="0"/>
                                </w:rPr>
                                <w:t xml:space="preserve"> </w:t>
                              </w:r>
                            </w:p>
                            <w:p w:rsidR="00000000" w:rsidDel="00000000" w:rsidP="00000000" w:rsidRDefault="00000000" w:rsidRPr="00000000" w14:paraId="0000001F">
                              <w:pPr>
                                <w:rPr>
                                  <w:rFonts w:ascii="Calibri" w:cs="Calibri" w:eastAsia="Calibri" w:hAnsi="Calibri"/>
                                  <w:color w:val="0c00ff"/>
                                  <w:sz w:val="26"/>
                                  <w:szCs w:val="26"/>
                                  <w:u w:val="single"/>
                                </w:rPr>
                              </w:pPr>
                              <w:r w:rsidDel="00000000" w:rsidR="00000000" w:rsidRPr="00000000">
                                <w:rPr>
                                  <w:rFonts w:ascii="Calibri" w:cs="Calibri" w:eastAsia="Calibri" w:hAnsi="Calibri"/>
                                  <w:sz w:val="26"/>
                                  <w:szCs w:val="26"/>
                                  <w:rtl w:val="0"/>
                                </w:rPr>
                                <w:t xml:space="preserve">The ASC, Final Order, and Site Certificate are available on the ODOE webpage at: </w:t>
                              </w:r>
                              <w:hyperlink r:id="rId9">
                                <w:r w:rsidDel="00000000" w:rsidR="00000000" w:rsidRPr="00000000">
                                  <w:rPr>
                                    <w:rFonts w:ascii="Calibri" w:cs="Calibri" w:eastAsia="Calibri" w:hAnsi="Calibri"/>
                                    <w:color w:val="0c00ff"/>
                                    <w:sz w:val="26"/>
                                    <w:szCs w:val="26"/>
                                    <w:u w:val="single"/>
                                    <w:rtl w:val="0"/>
                                  </w:rPr>
                                  <w:t xml:space="preserve">https://www.oregon.gov/energy/facilities-safety/facilities/Pages/B2H.aspx</w:t>
                                </w:r>
                              </w:hyperlink>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sz w:val="18"/>
                                  <w:szCs w:val="18"/>
                                  <w:rtl w:val="0"/>
                                </w:rPr>
                                <w:t xml:space="preserve"> </w:t>
                              </w:r>
                            </w:p>
                            <w:p w:rsidR="00000000" w:rsidDel="00000000" w:rsidP="00000000" w:rsidRDefault="00000000" w:rsidRPr="00000000" w14:paraId="00000021">
                              <w:pP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You received this notice either because you previously signed up for email updates through GovDelivery or ClickDimensions related to specific siting projects or all Energy Facility Siting Council activities (the "General List"). You will automatically receive all future notices per your request or GovDelivery/ClickDimensions choices, unless you unsubscribe via ClickDimensions or by contacting the Department.</w:t>
                              </w:r>
                            </w:p>
                            <w:p w:rsidR="00000000" w:rsidDel="00000000" w:rsidP="00000000" w:rsidRDefault="00000000" w:rsidRPr="00000000" w14:paraId="00000022">
                              <w:pPr>
                                <w:rPr>
                                  <w:sz w:val="18"/>
                                  <w:szCs w:val="18"/>
                                </w:rPr>
                              </w:pPr>
                              <w:r w:rsidDel="00000000" w:rsidR="00000000" w:rsidRPr="00000000">
                                <w:rPr>
                                  <w:sz w:val="18"/>
                                  <w:szCs w:val="18"/>
                                  <w:rtl w:val="0"/>
                                </w:rPr>
                                <w:t xml:space="preserve"> </w:t>
                              </w:r>
                            </w:p>
                            <w:p w:rsidR="00000000" w:rsidDel="00000000" w:rsidP="00000000" w:rsidRDefault="00000000" w:rsidRPr="00000000" w14:paraId="00000023">
                              <w:pP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If you have any questions or comments about ClickDimensions please feel free to contact the Department’s Administrative Assistant, Nancy Hatch at 503-428-7905, toll-free in Oregon at 800-221-8035, or email to </w:t>
                              </w:r>
                              <w:r w:rsidDel="00000000" w:rsidR="00000000" w:rsidRPr="00000000">
                                <w:rPr>
                                  <w:rFonts w:ascii="Calibri" w:cs="Calibri" w:eastAsia="Calibri" w:hAnsi="Calibri"/>
                                  <w:i w:val="1"/>
                                  <w:color w:val="0c00ff"/>
                                  <w:sz w:val="26"/>
                                  <w:szCs w:val="26"/>
                                  <w:rtl w:val="0"/>
                                </w:rPr>
                                <w:t xml:space="preserve">nancy.hatch@energy.oregon.gov</w:t>
                              </w:r>
                              <w:r w:rsidDel="00000000" w:rsidR="00000000" w:rsidRPr="00000000">
                                <w:rPr>
                                  <w:rFonts w:ascii="Calibri" w:cs="Calibri" w:eastAsia="Calibri" w:hAnsi="Calibri"/>
                                  <w:i w:val="1"/>
                                  <w:sz w:val="26"/>
                                  <w:szCs w:val="26"/>
                                  <w:rtl w:val="0"/>
                                </w:rPr>
                                <w:t xml:space="preserve">. </w:t>
                              </w:r>
                            </w:p>
                          </w:tc>
                        </w:tr>
                      </w:tbl>
                      <w:p w:rsidR="00000000" w:rsidDel="00000000" w:rsidP="00000000" w:rsidRDefault="00000000" w:rsidRPr="00000000" w14:paraId="00000024">
                        <w:pPr>
                          <w:rPr>
                            <w:sz w:val="2"/>
                            <w:szCs w:val="2"/>
                          </w:rPr>
                        </w:pPr>
                        <w:r w:rsidDel="00000000" w:rsidR="00000000" w:rsidRPr="00000000">
                          <w:rPr>
                            <w:rtl w:val="0"/>
                          </w:rPr>
                        </w:r>
                      </w:p>
                    </w:tc>
                  </w:tr>
                </w:tbl>
                <w:p w:rsidR="00000000" w:rsidDel="00000000" w:rsidP="00000000" w:rsidRDefault="00000000" w:rsidRPr="00000000" w14:paraId="00000025">
                  <w:pPr>
                    <w:jc w:val="center"/>
                    <w:rPr/>
                  </w:pPr>
                  <w:r w:rsidDel="00000000" w:rsidR="00000000" w:rsidRPr="00000000">
                    <w:rPr>
                      <w:rtl w:val="0"/>
                    </w:rPr>
                  </w:r>
                </w:p>
              </w:tc>
            </w:tr>
          </w:tbl>
          <w:p w:rsidR="00000000" w:rsidDel="00000000" w:rsidP="00000000" w:rsidRDefault="00000000" w:rsidRPr="00000000" w14:paraId="00000026">
            <w:pPr>
              <w:jc w:val="center"/>
              <w:rPr/>
            </w:pPr>
            <w:r w:rsidDel="00000000" w:rsidR="00000000" w:rsidRPr="00000000">
              <w:rPr>
                <w:rtl w:val="0"/>
              </w:rPr>
            </w:r>
          </w:p>
        </w:tc>
      </w:tr>
      <w:tr>
        <w:trPr>
          <w:cantSplit w:val="0"/>
          <w:trHeight w:val="4280" w:hRule="atLeast"/>
          <w:tblHeader w:val="0"/>
        </w:trPr>
        <w:tc>
          <w:tcP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r>
          </w:p>
          <w:tbl>
            <w:tblPr>
              <w:tblStyle w:val="Table6"/>
              <w:tblW w:w="88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30"/>
              <w:tblGridChange w:id="0">
                <w:tblGrid>
                  <w:gridCol w:w="8830"/>
                </w:tblGrid>
              </w:tblGridChange>
            </w:tblGrid>
            <w:tr>
              <w:trPr>
                <w:cantSplit w:val="0"/>
                <w:trHeight w:val="4080" w:hRule="atLeast"/>
                <w:tblHeader w:val="0"/>
              </w:trPr>
              <w:tc>
                <w:tcPr>
                  <w:shd w:fill="ffffff" w:val="clear"/>
                  <w:tcMar>
                    <w:top w:w="120.0" w:type="dxa"/>
                    <w:left w:w="240.0" w:type="dxa"/>
                    <w:bottom w:w="240.0" w:type="dxa"/>
                    <w:right w:w="240.0" w:type="dxa"/>
                  </w:tcMar>
                  <w:vAlign w:val="top"/>
                </w:tcPr>
                <w:p w:rsidR="00000000" w:rsidDel="00000000" w:rsidP="00000000" w:rsidRDefault="00000000" w:rsidRPr="00000000" w14:paraId="00000028">
                  <w:pPr>
                    <w:rPr>
                      <w:sz w:val="2"/>
                      <w:szCs w:val="2"/>
                    </w:rPr>
                  </w:pPr>
                  <w:r w:rsidDel="00000000" w:rsidR="00000000" w:rsidRPr="00000000">
                    <w:rPr>
                      <w:rtl w:val="0"/>
                    </w:rPr>
                  </w:r>
                </w:p>
                <w:tbl>
                  <w:tblPr>
                    <w:tblStyle w:val="Table7"/>
                    <w:tblW w:w="85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0"/>
                    <w:tblGridChange w:id="0">
                      <w:tblGrid>
                        <w:gridCol w:w="8520"/>
                      </w:tblGrid>
                    </w:tblGridChange>
                  </w:tblGrid>
                  <w:tr>
                    <w:trPr>
                      <w:cantSplit w:val="0"/>
                      <w:trHeight w:val="3720" w:hRule="atLeast"/>
                      <w:tblHeader w:val="0"/>
                    </w:trPr>
                    <w:tc>
                      <w:tcPr>
                        <w:shd w:fill="ffffff" w:val="clear"/>
                        <w:tcMar>
                          <w:top w:w="0.0" w:type="dxa"/>
                          <w:left w:w="0.0" w:type="dxa"/>
                          <w:bottom w:w="0.0" w:type="dxa"/>
                          <w:right w:w="0.0" w:type="dxa"/>
                        </w:tcMar>
                        <w:vAlign w:val="top"/>
                      </w:tcPr>
                      <w:p w:rsidR="00000000" w:rsidDel="00000000" w:rsidP="00000000" w:rsidRDefault="00000000" w:rsidRPr="00000000" w14:paraId="00000029">
                        <w:pPr>
                          <w:rPr>
                            <w:sz w:val="2"/>
                            <w:szCs w:val="2"/>
                          </w:rPr>
                        </w:pPr>
                        <w:r w:rsidDel="00000000" w:rsidR="00000000" w:rsidRPr="00000000">
                          <w:rPr>
                            <w:rtl w:val="0"/>
                          </w:rPr>
                        </w:r>
                      </w:p>
                      <w:tbl>
                        <w:tblPr>
                          <w:tblStyle w:val="Table8"/>
                          <w:tblW w:w="85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20"/>
                          <w:tblGridChange w:id="0">
                            <w:tblGrid>
                              <w:gridCol w:w="8520"/>
                            </w:tblGrid>
                          </w:tblGridChange>
                        </w:tblGrid>
                        <w:tr>
                          <w:trPr>
                            <w:cantSplit w:val="0"/>
                            <w:trHeight w:val="615" w:hRule="atLeast"/>
                            <w:tblHeader w:val="0"/>
                          </w:trPr>
                          <w:tc>
                            <w:tcPr>
                              <w:shd w:fill="ffffff" w:val="clear"/>
                              <w:tcMar>
                                <w:top w:w="300.0" w:type="dxa"/>
                                <w:left w:w="300.0" w:type="dxa"/>
                                <w:bottom w:w="300.0" w:type="dxa"/>
                                <w:right w:w="300.0" w:type="dxa"/>
                              </w:tcMar>
                              <w:vAlign w:val="top"/>
                            </w:tcPr>
                            <w:p w:rsidR="00000000" w:rsidDel="00000000" w:rsidP="00000000" w:rsidRDefault="00000000" w:rsidRPr="00000000" w14:paraId="0000002A">
                              <w:pPr>
                                <w:rPr>
                                  <w:sz w:val="18"/>
                                  <w:szCs w:val="18"/>
                                </w:rPr>
                              </w:pPr>
                              <w:r w:rsidDel="00000000" w:rsidR="00000000" w:rsidRPr="00000000">
                                <w:rPr>
                                  <w:rtl w:val="0"/>
                                </w:rPr>
                              </w:r>
                            </w:p>
                            <w:tbl>
                              <w:tblPr>
                                <w:tblStyle w:val="Table9"/>
                                <w:tblW w:w="7920.0" w:type="dxa"/>
                                <w:jc w:val="left"/>
                                <w:tblBorders>
                                  <w:bottom w:color="095629" w:space="0" w:sz="6" w:val="single"/>
                                </w:tblBorders>
                                <w:tblLayout w:type="fixed"/>
                                <w:tblLook w:val="0600"/>
                              </w:tblPr>
                              <w:tblGrid>
                                <w:gridCol w:w="7920"/>
                                <w:tblGridChange w:id="0">
                                  <w:tblGrid>
                                    <w:gridCol w:w="79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2B">
                                    <w:pPr>
                                      <w:rPr>
                                        <w:sz w:val="18"/>
                                        <w:szCs w:val="18"/>
                                      </w:rPr>
                                    </w:pPr>
                                    <w:r w:rsidDel="00000000" w:rsidR="00000000" w:rsidRPr="00000000">
                                      <w:rPr>
                                        <w:sz w:val="2"/>
                                        <w:szCs w:val="2"/>
                                        <w:rtl w:val="0"/>
                                      </w:rPr>
                                      <w:t xml:space="preserve"> </w:t>
                                    </w:r>
                                    <w:r w:rsidDel="00000000" w:rsidR="00000000" w:rsidRPr="00000000">
                                      <w:rPr>
                                        <w:rtl w:val="0"/>
                                      </w:rPr>
                                    </w:r>
                                  </w:p>
                                </w:tc>
                              </w:tr>
                            </w:tbl>
                            <w:p w:rsidR="00000000" w:rsidDel="00000000" w:rsidP="00000000" w:rsidRDefault="00000000" w:rsidRPr="00000000" w14:paraId="0000002C">
                              <w:pPr>
                                <w:spacing w:line="335.99999999999994" w:lineRule="auto"/>
                                <w:rPr>
                                  <w:sz w:val="2"/>
                                  <w:szCs w:val="2"/>
                                </w:rPr>
                              </w:pPr>
                              <w:r w:rsidDel="00000000" w:rsidR="00000000" w:rsidRPr="00000000">
                                <w:rPr>
                                  <w:rtl w:val="0"/>
                                </w:rPr>
                              </w:r>
                            </w:p>
                          </w:tc>
                        </w:tr>
                        <w:tr>
                          <w:trPr>
                            <w:cantSplit w:val="0"/>
                            <w:trHeight w:val="3105" w:hRule="atLeast"/>
                            <w:tblHeader w:val="0"/>
                          </w:trPr>
                          <w:tc>
                            <w:tcPr>
                              <w:shd w:fill="ffffff" w:val="clear"/>
                              <w:tcMar>
                                <w:top w:w="300.0" w:type="dxa"/>
                                <w:left w:w="300.0" w:type="dxa"/>
                                <w:bottom w:w="300.0" w:type="dxa"/>
                                <w:right w:w="300.0" w:type="dxa"/>
                              </w:tcMar>
                              <w:vAlign w:val="top"/>
                            </w:tcPr>
                            <w:p w:rsidR="00000000" w:rsidDel="00000000" w:rsidP="00000000" w:rsidRDefault="00000000" w:rsidRPr="00000000" w14:paraId="0000002D">
                              <w:pPr>
                                <w:rPr>
                                  <w:rFonts w:ascii="Verdana" w:cs="Verdana" w:eastAsia="Verdana" w:hAnsi="Verdana"/>
                                  <w:b w:val="1"/>
                                  <w:color w:val="003366"/>
                                  <w:sz w:val="21"/>
                                  <w:szCs w:val="21"/>
                                </w:rPr>
                              </w:pPr>
                              <w:r w:rsidDel="00000000" w:rsidR="00000000" w:rsidRPr="00000000">
                                <w:rPr>
                                  <w:rFonts w:ascii="Verdana" w:cs="Verdana" w:eastAsia="Verdana" w:hAnsi="Verdana"/>
                                  <w:b w:val="1"/>
                                  <w:color w:val="003366"/>
                                  <w:sz w:val="21"/>
                                  <w:szCs w:val="21"/>
                                  <w:rtl w:val="0"/>
                                </w:rPr>
                                <w:t xml:space="preserve">Oregon Department of Energy</w:t>
                              </w:r>
                            </w:p>
                            <w:p w:rsidR="00000000" w:rsidDel="00000000" w:rsidP="00000000" w:rsidRDefault="00000000" w:rsidRPr="00000000" w14:paraId="0000002E">
                              <w:pPr>
                                <w:rPr>
                                  <w:rFonts w:ascii="Verdana" w:cs="Verdana" w:eastAsia="Verdana" w:hAnsi="Verdana"/>
                                  <w:b w:val="1"/>
                                  <w:i w:val="1"/>
                                  <w:color w:val="003366"/>
                                  <w:sz w:val="21"/>
                                  <w:szCs w:val="21"/>
                                </w:rPr>
                              </w:pPr>
                              <w:r w:rsidDel="00000000" w:rsidR="00000000" w:rsidRPr="00000000">
                                <w:rPr>
                                  <w:rFonts w:ascii="Verdana" w:cs="Verdana" w:eastAsia="Verdana" w:hAnsi="Verdana"/>
                                  <w:b w:val="1"/>
                                  <w:i w:val="1"/>
                                  <w:color w:val="003366"/>
                                  <w:sz w:val="21"/>
                                  <w:szCs w:val="21"/>
                                  <w:rtl w:val="0"/>
                                </w:rPr>
                                <w:t xml:space="preserve">Leading Oregon to a safe, equitable, clean, and sustainable energy future.</w:t>
                              </w:r>
                            </w:p>
                            <w:p w:rsidR="00000000" w:rsidDel="00000000" w:rsidP="00000000" w:rsidRDefault="00000000" w:rsidRPr="00000000" w14:paraId="0000002F">
                              <w:pPr>
                                <w:rPr>
                                  <w:sz w:val="18"/>
                                  <w:szCs w:val="18"/>
                                </w:rPr>
                              </w:pPr>
                              <w:r w:rsidDel="00000000" w:rsidR="00000000" w:rsidRPr="00000000">
                                <w:rPr>
                                  <w:sz w:val="18"/>
                                  <w:szCs w:val="18"/>
                                  <w:rtl w:val="0"/>
                                </w:rPr>
                                <w:t xml:space="preserve"> </w:t>
                              </w:r>
                            </w:p>
                            <w:p w:rsidR="00000000" w:rsidDel="00000000" w:rsidP="00000000" w:rsidRDefault="00000000" w:rsidRPr="00000000" w14:paraId="0000003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Oregon Department of Energy helps Oregonians improve the energy efficiency of their homes, provides policy expertise to prepare for Oregon’s future energy needs, staffs the Energy Facility Siting Council, provides technical and financial assistance to encourage investments in energy efficiency and renewable energy resources, promotes the cleanup of the Hanford nuclear site, and ensures state preparedness to respond to emergencies at energy facilities.</w:t>
                              </w:r>
                            </w:p>
                          </w:tc>
                        </w:tr>
                      </w:tbl>
                      <w:p w:rsidR="00000000" w:rsidDel="00000000" w:rsidP="00000000" w:rsidRDefault="00000000" w:rsidRPr="00000000" w14:paraId="00000031">
                        <w:pPr>
                          <w:rPr>
                            <w:sz w:val="2"/>
                            <w:szCs w:val="2"/>
                          </w:rPr>
                        </w:pPr>
                        <w:r w:rsidDel="00000000" w:rsidR="00000000" w:rsidRPr="00000000">
                          <w:rPr>
                            <w:rtl w:val="0"/>
                          </w:rPr>
                        </w:r>
                      </w:p>
                    </w:tc>
                  </w:tr>
                </w:tbl>
                <w:p w:rsidR="00000000" w:rsidDel="00000000" w:rsidP="00000000" w:rsidRDefault="00000000" w:rsidRPr="00000000" w14:paraId="00000032">
                  <w:pPr>
                    <w:jc w:val="center"/>
                    <w:rPr/>
                  </w:pPr>
                  <w:r w:rsidDel="00000000" w:rsidR="00000000" w:rsidRPr="00000000">
                    <w:rPr>
                      <w:rtl w:val="0"/>
                    </w:rPr>
                  </w:r>
                </w:p>
              </w:tc>
            </w:tr>
          </w:tbl>
          <w:p w:rsidR="00000000" w:rsidDel="00000000" w:rsidP="00000000" w:rsidRDefault="00000000" w:rsidRPr="00000000" w14:paraId="00000033">
            <w:pPr>
              <w:jc w:val="center"/>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k.energy.oregon.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_WSIBi2_7b7_9ehA" TargetMode="External"/><Relationship Id="rId5" Type="http://schemas.openxmlformats.org/officeDocument/2006/relationships/styles" Target="styles.xml"/><Relationship Id="rId6" Type="http://schemas.openxmlformats.org/officeDocument/2006/relationships/hyperlink" Target="https://www.oregon.gov/treasury/public-financial-services/oregon-short-term-funds/pages/default.aspx" TargetMode="External"/><Relationship Id="rId7" Type="http://schemas.openxmlformats.org/officeDocument/2006/relationships/hyperlink" Target="https://www.oregon.gov/treasury/public-financial-services/oregon-short-term-funds/pages/default.aspx"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