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DC71" w14:textId="77777777" w:rsidR="00FA0A4E" w:rsidRDefault="00FA0A4E" w:rsidP="00304700">
      <w:pPr>
        <w:jc w:val="center"/>
        <w:rPr>
          <w:b/>
          <w:sz w:val="28"/>
          <w:szCs w:val="28"/>
        </w:rPr>
      </w:pPr>
    </w:p>
    <w:p w14:paraId="66AB39EA" w14:textId="77777777" w:rsidR="00FA0A4E" w:rsidRDefault="00FA0A4E" w:rsidP="00304700">
      <w:pPr>
        <w:jc w:val="center"/>
        <w:rPr>
          <w:b/>
          <w:sz w:val="28"/>
          <w:szCs w:val="28"/>
        </w:rPr>
      </w:pPr>
    </w:p>
    <w:p w14:paraId="2C579F7B" w14:textId="396EB1E4" w:rsidR="00304700" w:rsidRPr="003F1625" w:rsidRDefault="00304700" w:rsidP="00304700">
      <w:pPr>
        <w:jc w:val="center"/>
        <w:rPr>
          <w:b/>
          <w:sz w:val="28"/>
          <w:szCs w:val="28"/>
        </w:rPr>
      </w:pPr>
      <w:r w:rsidRPr="003F1625">
        <w:rPr>
          <w:b/>
          <w:sz w:val="28"/>
          <w:szCs w:val="28"/>
        </w:rPr>
        <w:t>IN THE COURT OF APPEALS OF THE STATE OF OREGON</w:t>
      </w:r>
    </w:p>
    <w:p w14:paraId="1835701D" w14:textId="77777777" w:rsidR="00FA0A4E" w:rsidRDefault="00FA0A4E" w:rsidP="00FA0A4E">
      <w:pPr>
        <w:pStyle w:val="Table"/>
        <w:ind w:left="360"/>
        <w:rPr>
          <w:sz w:val="28"/>
          <w:szCs w:val="28"/>
        </w:rPr>
      </w:pPr>
    </w:p>
    <w:p w14:paraId="20989BD7" w14:textId="77777777" w:rsidR="00FA0A4E" w:rsidRPr="003F1625" w:rsidRDefault="00FA0A4E" w:rsidP="00353D25">
      <w:pPr>
        <w:pStyle w:val="Table"/>
        <w:jc w:val="center"/>
        <w:rPr>
          <w:sz w:val="28"/>
          <w:szCs w:val="28"/>
        </w:rPr>
      </w:pPr>
      <w:r w:rsidRPr="003F1625">
        <w:rPr>
          <w:sz w:val="28"/>
          <w:szCs w:val="28"/>
        </w:rPr>
        <w:t>OREGON DEPARTMENT OF FISH AND WILDLIFE,</w:t>
      </w:r>
    </w:p>
    <w:p w14:paraId="199F4ED1" w14:textId="1FCC274C" w:rsidR="00FA0A4E" w:rsidRPr="003F1625" w:rsidRDefault="00FA0A4E" w:rsidP="00353D25">
      <w:pPr>
        <w:pStyle w:val="Table"/>
        <w:jc w:val="center"/>
        <w:rPr>
          <w:sz w:val="28"/>
          <w:szCs w:val="28"/>
        </w:rPr>
      </w:pPr>
      <w:r>
        <w:rPr>
          <w:sz w:val="28"/>
          <w:szCs w:val="28"/>
        </w:rPr>
        <w:t>Petitioner Below-</w:t>
      </w:r>
      <w:r w:rsidRPr="003F1625">
        <w:rPr>
          <w:sz w:val="28"/>
          <w:szCs w:val="28"/>
        </w:rPr>
        <w:t>Respondent,</w:t>
      </w:r>
    </w:p>
    <w:p w14:paraId="0F9F54E3" w14:textId="77777777" w:rsidR="00FA0A4E" w:rsidRDefault="00FA0A4E" w:rsidP="00FA0A4E">
      <w:pPr>
        <w:pStyle w:val="Table"/>
        <w:jc w:val="center"/>
        <w:rPr>
          <w:sz w:val="28"/>
          <w:szCs w:val="28"/>
        </w:rPr>
      </w:pPr>
      <w:r w:rsidRPr="003F1625">
        <w:rPr>
          <w:sz w:val="28"/>
          <w:szCs w:val="28"/>
        </w:rPr>
        <w:t>v.</w:t>
      </w:r>
    </w:p>
    <w:p w14:paraId="6E883B57" w14:textId="77777777" w:rsidR="00FA0A4E" w:rsidRPr="003F1625" w:rsidRDefault="00FA0A4E" w:rsidP="00353D25">
      <w:pPr>
        <w:pStyle w:val="Table"/>
        <w:jc w:val="center"/>
        <w:rPr>
          <w:sz w:val="28"/>
          <w:szCs w:val="28"/>
        </w:rPr>
      </w:pPr>
      <w:r w:rsidRPr="003F1625">
        <w:rPr>
          <w:sz w:val="28"/>
          <w:szCs w:val="28"/>
        </w:rPr>
        <w:t>CROOK COUNTY,</w:t>
      </w:r>
    </w:p>
    <w:p w14:paraId="7B595F41" w14:textId="12D897EF" w:rsidR="00FA0A4E" w:rsidRPr="003F1625" w:rsidRDefault="00FA0A4E" w:rsidP="00353D25">
      <w:pPr>
        <w:pStyle w:val="Table"/>
        <w:jc w:val="center"/>
        <w:rPr>
          <w:sz w:val="28"/>
          <w:szCs w:val="28"/>
        </w:rPr>
      </w:pPr>
      <w:r>
        <w:rPr>
          <w:sz w:val="28"/>
          <w:szCs w:val="28"/>
        </w:rPr>
        <w:t>Respondent Below-Petitioner,</w:t>
      </w:r>
    </w:p>
    <w:p w14:paraId="2EA83B1F" w14:textId="77777777" w:rsidR="00FA0A4E" w:rsidRPr="003F1625" w:rsidRDefault="00FA0A4E" w:rsidP="00353D25">
      <w:pPr>
        <w:pStyle w:val="Table"/>
        <w:jc w:val="center"/>
        <w:rPr>
          <w:sz w:val="28"/>
          <w:szCs w:val="28"/>
        </w:rPr>
      </w:pPr>
      <w:r w:rsidRPr="003F1625">
        <w:rPr>
          <w:sz w:val="28"/>
          <w:szCs w:val="28"/>
        </w:rPr>
        <w:t>WEST PRINEVILLE SOLAR FARM LLC,</w:t>
      </w:r>
    </w:p>
    <w:p w14:paraId="482190AC" w14:textId="06F0ED81" w:rsidR="00FA0A4E" w:rsidRDefault="00FA0A4E" w:rsidP="00353D25">
      <w:pPr>
        <w:pStyle w:val="Table"/>
        <w:ind w:left="360"/>
        <w:jc w:val="center"/>
        <w:rPr>
          <w:sz w:val="28"/>
          <w:szCs w:val="28"/>
        </w:rPr>
      </w:pPr>
      <w:proofErr w:type="spellStart"/>
      <w:r>
        <w:rPr>
          <w:sz w:val="28"/>
          <w:szCs w:val="28"/>
        </w:rPr>
        <w:t>Intervenor</w:t>
      </w:r>
      <w:proofErr w:type="spellEnd"/>
      <w:r>
        <w:rPr>
          <w:sz w:val="28"/>
          <w:szCs w:val="28"/>
        </w:rPr>
        <w:t>/Respondent Below-</w:t>
      </w:r>
      <w:r w:rsidRPr="003F1625">
        <w:rPr>
          <w:sz w:val="28"/>
          <w:szCs w:val="28"/>
        </w:rPr>
        <w:t>Petitioner.</w:t>
      </w:r>
    </w:p>
    <w:p w14:paraId="266EEC9F" w14:textId="77777777" w:rsidR="00FA0A4E" w:rsidRDefault="00FA0A4E" w:rsidP="00353D25">
      <w:pPr>
        <w:pStyle w:val="Table"/>
        <w:ind w:left="360"/>
        <w:jc w:val="center"/>
        <w:rPr>
          <w:sz w:val="28"/>
          <w:szCs w:val="28"/>
        </w:rPr>
      </w:pPr>
    </w:p>
    <w:p w14:paraId="685C8C52" w14:textId="4A36768D" w:rsidR="00FA0A4E" w:rsidRPr="003F1625" w:rsidRDefault="00FA0A4E" w:rsidP="00353D25">
      <w:pPr>
        <w:pStyle w:val="Table"/>
        <w:ind w:left="360"/>
        <w:jc w:val="center"/>
        <w:rPr>
          <w:sz w:val="28"/>
          <w:szCs w:val="28"/>
        </w:rPr>
      </w:pPr>
      <w:r>
        <w:rPr>
          <w:sz w:val="28"/>
          <w:szCs w:val="28"/>
        </w:rPr>
        <w:t>Land Use Board of Appeals</w:t>
      </w:r>
      <w:r w:rsidRPr="003F1625">
        <w:rPr>
          <w:sz w:val="28"/>
          <w:szCs w:val="28"/>
        </w:rPr>
        <w:t xml:space="preserve"> No. 2020-114</w:t>
      </w:r>
    </w:p>
    <w:p w14:paraId="4180138F" w14:textId="314BFAD4" w:rsidR="00FA0A4E" w:rsidRPr="003F1625" w:rsidRDefault="00FA0A4E" w:rsidP="00353D25">
      <w:pPr>
        <w:pStyle w:val="Table"/>
        <w:ind w:left="360"/>
        <w:jc w:val="center"/>
        <w:rPr>
          <w:b/>
          <w:sz w:val="28"/>
          <w:szCs w:val="28"/>
        </w:rPr>
      </w:pPr>
      <w:r w:rsidRPr="003F1625">
        <w:rPr>
          <w:b/>
          <w:sz w:val="28"/>
          <w:szCs w:val="28"/>
        </w:rPr>
        <w:t>A176344</w:t>
      </w:r>
    </w:p>
    <w:p w14:paraId="199AF72E" w14:textId="1A6C3C78" w:rsidR="00DF1811" w:rsidRPr="003F1625" w:rsidRDefault="006C113C" w:rsidP="00DF1811">
      <w:pPr>
        <w:pStyle w:val="CenterHeading"/>
        <w:pBdr>
          <w:top w:val="single" w:sz="4" w:space="12" w:color="auto"/>
          <w:bottom w:val="single" w:sz="4" w:space="12" w:color="auto"/>
        </w:pBdr>
        <w:spacing w:after="0"/>
        <w:rPr>
          <w:sz w:val="28"/>
          <w:szCs w:val="28"/>
        </w:rPr>
      </w:pPr>
      <w:r w:rsidRPr="003F1625">
        <w:rPr>
          <w:sz w:val="28"/>
          <w:szCs w:val="28"/>
        </w:rPr>
        <w:t xml:space="preserve">BRIEF OF </w:t>
      </w:r>
      <w:r w:rsidRPr="003F1625">
        <w:rPr>
          <w:i/>
          <w:sz w:val="28"/>
          <w:szCs w:val="28"/>
        </w:rPr>
        <w:t xml:space="preserve">AMICUS CURIAE </w:t>
      </w:r>
      <w:r w:rsidR="0069678C" w:rsidRPr="003F1625">
        <w:rPr>
          <w:sz w:val="28"/>
          <w:szCs w:val="28"/>
        </w:rPr>
        <w:t>COMMUNITY RENEWABLE ENERGY ASSOCIATION</w:t>
      </w:r>
      <w:r w:rsidR="0069678C" w:rsidRPr="003F1625">
        <w:rPr>
          <w:i/>
          <w:sz w:val="28"/>
          <w:szCs w:val="28"/>
        </w:rPr>
        <w:t xml:space="preserve"> </w:t>
      </w:r>
      <w:r w:rsidR="0069678C" w:rsidRPr="003F1625">
        <w:rPr>
          <w:sz w:val="28"/>
          <w:szCs w:val="28"/>
        </w:rPr>
        <w:t xml:space="preserve">IN SUPPORT OF </w:t>
      </w:r>
      <w:r w:rsidR="00DF1811" w:rsidRPr="00E061BB">
        <w:rPr>
          <w:sz w:val="28"/>
          <w:szCs w:val="28"/>
        </w:rPr>
        <w:t xml:space="preserve">PETITIONER </w:t>
      </w:r>
      <w:r w:rsidR="00E061BB">
        <w:rPr>
          <w:sz w:val="28"/>
          <w:szCs w:val="28"/>
        </w:rPr>
        <w:t>WEST PRINEVILLE SOLAR FARM LLC AND PETITIONER CROOK COUNTY</w:t>
      </w:r>
    </w:p>
    <w:p w14:paraId="69095090" w14:textId="77777777" w:rsidR="00B503DB" w:rsidRPr="003F1625" w:rsidRDefault="00B503DB" w:rsidP="00DF1811">
      <w:pPr>
        <w:pStyle w:val="CenterHeading"/>
        <w:pBdr>
          <w:top w:val="single" w:sz="4" w:space="12" w:color="auto"/>
          <w:bottom w:val="single" w:sz="4" w:space="12" w:color="auto"/>
        </w:pBdr>
        <w:spacing w:before="0"/>
        <w:rPr>
          <w:b w:val="0"/>
          <w:sz w:val="28"/>
          <w:szCs w:val="28"/>
        </w:rPr>
      </w:pPr>
      <w:r w:rsidRPr="003F1625">
        <w:rPr>
          <w:b w:val="0"/>
          <w:sz w:val="28"/>
          <w:szCs w:val="28"/>
        </w:rPr>
        <w:t>_____________________________________</w:t>
      </w:r>
      <w:r w:rsidR="002710DB">
        <w:rPr>
          <w:b w:val="0"/>
          <w:sz w:val="28"/>
          <w:szCs w:val="28"/>
        </w:rPr>
        <w:t>___________________________</w:t>
      </w:r>
    </w:p>
    <w:p w14:paraId="25648EA3" w14:textId="77777777" w:rsidR="00AE20DB" w:rsidRPr="003F1625" w:rsidRDefault="00AE20DB">
      <w:pPr>
        <w:pStyle w:val="CenterHeading"/>
        <w:pBdr>
          <w:top w:val="single" w:sz="4" w:space="12" w:color="auto"/>
          <w:bottom w:val="single" w:sz="4" w:space="12" w:color="auto"/>
        </w:pBdr>
        <w:rPr>
          <w:b w:val="0"/>
          <w:sz w:val="28"/>
          <w:szCs w:val="28"/>
        </w:rPr>
      </w:pPr>
      <w:r w:rsidRPr="003F1625">
        <w:rPr>
          <w:b w:val="0"/>
          <w:sz w:val="28"/>
          <w:szCs w:val="28"/>
        </w:rPr>
        <w:t xml:space="preserve">Appeal from </w:t>
      </w:r>
      <w:r w:rsidR="00C5794B" w:rsidRPr="003F1625">
        <w:rPr>
          <w:b w:val="0"/>
          <w:sz w:val="28"/>
          <w:szCs w:val="28"/>
        </w:rPr>
        <w:t>Land Use Board of Appeals’ Final Opinion and Order</w:t>
      </w:r>
      <w:r w:rsidR="00DF1811" w:rsidRPr="003F1625">
        <w:rPr>
          <w:b w:val="0"/>
          <w:sz w:val="28"/>
          <w:szCs w:val="28"/>
        </w:rPr>
        <w:t>, dated June</w:t>
      </w:r>
      <w:r w:rsidR="00DF1811" w:rsidRPr="003F1625">
        <w:rPr>
          <w:sz w:val="28"/>
          <w:szCs w:val="28"/>
        </w:rPr>
        <w:t> </w:t>
      </w:r>
      <w:r w:rsidR="00DF1811" w:rsidRPr="003F1625">
        <w:rPr>
          <w:b w:val="0"/>
          <w:sz w:val="28"/>
          <w:szCs w:val="28"/>
        </w:rPr>
        <w:t>9, </w:t>
      </w:r>
      <w:r w:rsidR="00217526" w:rsidRPr="003F1625">
        <w:rPr>
          <w:b w:val="0"/>
          <w:sz w:val="28"/>
          <w:szCs w:val="28"/>
        </w:rPr>
        <w:t xml:space="preserve">2021, </w:t>
      </w:r>
      <w:r w:rsidR="00A8316A" w:rsidRPr="003F1625">
        <w:rPr>
          <w:b w:val="0"/>
          <w:sz w:val="28"/>
          <w:szCs w:val="28"/>
        </w:rPr>
        <w:t xml:space="preserve">Rudd, Board Chair; Ryan and </w:t>
      </w:r>
      <w:proofErr w:type="spellStart"/>
      <w:r w:rsidR="00A8316A" w:rsidRPr="003F1625">
        <w:rPr>
          <w:b w:val="0"/>
          <w:sz w:val="28"/>
          <w:szCs w:val="28"/>
        </w:rPr>
        <w:t>Zamudio</w:t>
      </w:r>
      <w:proofErr w:type="spellEnd"/>
      <w:r w:rsidR="00A8316A" w:rsidRPr="003F1625">
        <w:rPr>
          <w:b w:val="0"/>
          <w:sz w:val="28"/>
          <w:szCs w:val="28"/>
        </w:rPr>
        <w:t>, Board Members</w:t>
      </w:r>
    </w:p>
    <w:p w14:paraId="1DC0D364" w14:textId="12A6EA62" w:rsidR="003F1625" w:rsidRDefault="003F1625">
      <w:pPr>
        <w:pStyle w:val="BodyTextLeft"/>
        <w:rPr>
          <w:sz w:val="28"/>
          <w:szCs w:val="28"/>
        </w:rPr>
      </w:pPr>
    </w:p>
    <w:p w14:paraId="287A6F32" w14:textId="6476E3A8" w:rsidR="008141FC" w:rsidRDefault="008141FC">
      <w:pPr>
        <w:pStyle w:val="BodyTextLeft"/>
        <w:rPr>
          <w:sz w:val="28"/>
          <w:szCs w:val="28"/>
        </w:rPr>
      </w:pPr>
    </w:p>
    <w:p w14:paraId="400888E3" w14:textId="09861378" w:rsidR="008141FC" w:rsidRDefault="008141FC">
      <w:pPr>
        <w:pStyle w:val="BodyTextLeft"/>
        <w:rPr>
          <w:sz w:val="28"/>
          <w:szCs w:val="28"/>
        </w:rPr>
      </w:pPr>
    </w:p>
    <w:p w14:paraId="77A596D1" w14:textId="4DE3A320" w:rsidR="00E83BA3" w:rsidRPr="00353D25" w:rsidRDefault="008141FC" w:rsidP="00962E25">
      <w:pPr>
        <w:pStyle w:val="BodyTextLeft"/>
        <w:jc w:val="center"/>
        <w:rPr>
          <w:i/>
          <w:sz w:val="28"/>
          <w:szCs w:val="28"/>
        </w:rPr>
        <w:sectPr w:rsidR="00E83BA3" w:rsidRPr="00353D25" w:rsidSect="008B5753">
          <w:footerReference w:type="default" r:id="rId8"/>
          <w:pgSz w:w="12240" w:h="15840" w:code="1"/>
          <w:pgMar w:top="1260" w:right="1440" w:bottom="1080" w:left="1800" w:header="547" w:footer="720" w:gutter="0"/>
          <w:cols w:space="720"/>
          <w:docGrid w:linePitch="360"/>
        </w:sectPr>
      </w:pPr>
      <w:r w:rsidRPr="00353D25">
        <w:rPr>
          <w:i/>
          <w:sz w:val="28"/>
          <w:szCs w:val="28"/>
        </w:rPr>
        <w:t>[</w:t>
      </w:r>
      <w:proofErr w:type="spellStart"/>
      <w:r w:rsidRPr="00353D25">
        <w:rPr>
          <w:i/>
          <w:sz w:val="28"/>
          <w:szCs w:val="28"/>
        </w:rPr>
        <w:t>ORAP</w:t>
      </w:r>
      <w:proofErr w:type="spellEnd"/>
      <w:r w:rsidRPr="00353D25">
        <w:rPr>
          <w:i/>
          <w:sz w:val="28"/>
          <w:szCs w:val="28"/>
        </w:rPr>
        <w:t xml:space="preserve"> 1.30 Information Follows]</w:t>
      </w:r>
    </w:p>
    <w:tbl>
      <w:tblPr>
        <w:tblW w:w="8975" w:type="dxa"/>
        <w:tblLayout w:type="fixed"/>
        <w:tblCellMar>
          <w:left w:w="0" w:type="dxa"/>
          <w:right w:w="115" w:type="dxa"/>
        </w:tblCellMar>
        <w:tblLook w:val="0000" w:firstRow="0" w:lastRow="0" w:firstColumn="0" w:lastColumn="0" w:noHBand="0" w:noVBand="0"/>
      </w:tblPr>
      <w:tblGrid>
        <w:gridCol w:w="4320"/>
        <w:gridCol w:w="270"/>
        <w:gridCol w:w="4385"/>
      </w:tblGrid>
      <w:tr w:rsidR="00CC5472" w:rsidRPr="003F1625" w14:paraId="2B887CED" w14:textId="77777777" w:rsidTr="00B756E4">
        <w:tc>
          <w:tcPr>
            <w:tcW w:w="4320" w:type="dxa"/>
          </w:tcPr>
          <w:p w14:paraId="097A6472" w14:textId="0B47F969" w:rsidR="00CC5472" w:rsidRPr="003F1625" w:rsidRDefault="00C55C7C">
            <w:pPr>
              <w:pStyle w:val="BodyTextLeft"/>
              <w:rPr>
                <w:sz w:val="28"/>
                <w:szCs w:val="28"/>
              </w:rPr>
            </w:pPr>
            <w:r>
              <w:rPr>
                <w:sz w:val="28"/>
                <w:szCs w:val="28"/>
              </w:rPr>
              <w:lastRenderedPageBreak/>
              <w:t>Ellen H. Grover</w:t>
            </w:r>
            <w:r w:rsidR="00EC319B" w:rsidRPr="003F1625">
              <w:rPr>
                <w:sz w:val="28"/>
                <w:szCs w:val="28"/>
              </w:rPr>
              <w:t xml:space="preserve">, </w:t>
            </w:r>
            <w:proofErr w:type="spellStart"/>
            <w:r w:rsidR="00EC319B" w:rsidRPr="003F1625">
              <w:rPr>
                <w:sz w:val="28"/>
                <w:szCs w:val="28"/>
              </w:rPr>
              <w:t>OSB</w:t>
            </w:r>
            <w:proofErr w:type="spellEnd"/>
            <w:r w:rsidR="00EC319B" w:rsidRPr="003F1625">
              <w:rPr>
                <w:sz w:val="28"/>
                <w:szCs w:val="28"/>
              </w:rPr>
              <w:t xml:space="preserve"> </w:t>
            </w:r>
            <w:r w:rsidR="000A3C85" w:rsidRPr="003F1625">
              <w:rPr>
                <w:sz w:val="28"/>
                <w:szCs w:val="28"/>
              </w:rPr>
              <w:t>#</w:t>
            </w:r>
            <w:r w:rsidR="00EC319B" w:rsidRPr="003F1625">
              <w:rPr>
                <w:sz w:val="28"/>
                <w:szCs w:val="28"/>
              </w:rPr>
              <w:t>991978</w:t>
            </w:r>
          </w:p>
          <w:p w14:paraId="376C16F9" w14:textId="33F53A03" w:rsidR="000174F5" w:rsidRPr="003F1625" w:rsidRDefault="000865D1">
            <w:pPr>
              <w:pStyle w:val="BodyTextLeft"/>
              <w:rPr>
                <w:sz w:val="28"/>
                <w:szCs w:val="28"/>
              </w:rPr>
            </w:pPr>
            <w:r>
              <w:rPr>
                <w:sz w:val="28"/>
                <w:szCs w:val="28"/>
              </w:rPr>
              <w:t xml:space="preserve">Megan </w:t>
            </w:r>
            <w:r w:rsidR="00C55C7C">
              <w:rPr>
                <w:sz w:val="28"/>
                <w:szCs w:val="28"/>
              </w:rPr>
              <w:t xml:space="preserve">K. </w:t>
            </w:r>
            <w:r>
              <w:rPr>
                <w:sz w:val="28"/>
                <w:szCs w:val="28"/>
              </w:rPr>
              <w:t xml:space="preserve">Beshai, </w:t>
            </w:r>
            <w:proofErr w:type="spellStart"/>
            <w:r>
              <w:rPr>
                <w:sz w:val="28"/>
                <w:szCs w:val="28"/>
              </w:rPr>
              <w:t>OSB</w:t>
            </w:r>
            <w:proofErr w:type="spellEnd"/>
            <w:r>
              <w:rPr>
                <w:sz w:val="28"/>
                <w:szCs w:val="28"/>
              </w:rPr>
              <w:t xml:space="preserve"> #195564</w:t>
            </w:r>
          </w:p>
          <w:p w14:paraId="48BA12B7" w14:textId="77777777" w:rsidR="00EC319B" w:rsidRPr="003F1625" w:rsidRDefault="00EC319B">
            <w:pPr>
              <w:pStyle w:val="BodyTextLeft"/>
              <w:rPr>
                <w:sz w:val="28"/>
                <w:szCs w:val="28"/>
              </w:rPr>
            </w:pPr>
            <w:r w:rsidRPr="003F1625">
              <w:rPr>
                <w:sz w:val="28"/>
                <w:szCs w:val="28"/>
              </w:rPr>
              <w:t>Karnopp Petersen LLP</w:t>
            </w:r>
          </w:p>
          <w:p w14:paraId="256CE287" w14:textId="77777777" w:rsidR="000174F5" w:rsidRPr="003F1625" w:rsidRDefault="000174F5">
            <w:pPr>
              <w:pStyle w:val="BodyTextLeft"/>
              <w:rPr>
                <w:sz w:val="28"/>
                <w:szCs w:val="28"/>
              </w:rPr>
            </w:pPr>
            <w:r w:rsidRPr="003F1625">
              <w:rPr>
                <w:sz w:val="28"/>
                <w:szCs w:val="28"/>
              </w:rPr>
              <w:t>300 SW Bond Street, Suite 400</w:t>
            </w:r>
          </w:p>
          <w:p w14:paraId="5D3B2C09" w14:textId="77777777" w:rsidR="000174F5" w:rsidRPr="003F1625" w:rsidRDefault="000174F5">
            <w:pPr>
              <w:pStyle w:val="BodyTextLeft"/>
              <w:rPr>
                <w:sz w:val="28"/>
                <w:szCs w:val="28"/>
              </w:rPr>
            </w:pPr>
            <w:r w:rsidRPr="003F1625">
              <w:rPr>
                <w:sz w:val="28"/>
                <w:szCs w:val="28"/>
              </w:rPr>
              <w:t>Bend, Oregon 97702</w:t>
            </w:r>
          </w:p>
          <w:p w14:paraId="42152AB0" w14:textId="77777777" w:rsidR="000174F5" w:rsidRPr="003F1625" w:rsidRDefault="000174F5">
            <w:pPr>
              <w:pStyle w:val="BodyTextLeft"/>
              <w:rPr>
                <w:sz w:val="28"/>
                <w:szCs w:val="28"/>
              </w:rPr>
            </w:pPr>
            <w:r w:rsidRPr="003F1625">
              <w:rPr>
                <w:sz w:val="28"/>
                <w:szCs w:val="28"/>
              </w:rPr>
              <w:t>Telephone:  541-382-3011</w:t>
            </w:r>
          </w:p>
          <w:p w14:paraId="41137E79" w14:textId="027D324D" w:rsidR="000174F5" w:rsidRPr="003F1625" w:rsidRDefault="00EE7D34">
            <w:pPr>
              <w:pStyle w:val="BodyTextLeft"/>
              <w:rPr>
                <w:sz w:val="28"/>
                <w:szCs w:val="28"/>
              </w:rPr>
            </w:pPr>
            <w:r>
              <w:rPr>
                <w:sz w:val="28"/>
                <w:szCs w:val="28"/>
              </w:rPr>
              <w:t xml:space="preserve">Emails:  </w:t>
            </w:r>
            <w:r w:rsidR="000174F5" w:rsidRPr="003F1625">
              <w:rPr>
                <w:sz w:val="28"/>
                <w:szCs w:val="28"/>
              </w:rPr>
              <w:t xml:space="preserve">ehg@karnopp.com </w:t>
            </w:r>
          </w:p>
          <w:p w14:paraId="23E7CE50" w14:textId="435F6537" w:rsidR="000174F5" w:rsidRPr="003F1625" w:rsidRDefault="00EE7D34">
            <w:pPr>
              <w:pStyle w:val="BodyTextLeft"/>
              <w:rPr>
                <w:sz w:val="28"/>
                <w:szCs w:val="28"/>
              </w:rPr>
            </w:pPr>
            <w:r>
              <w:rPr>
                <w:sz w:val="28"/>
                <w:szCs w:val="28"/>
              </w:rPr>
              <w:t xml:space="preserve">             </w:t>
            </w:r>
            <w:r w:rsidR="000865D1">
              <w:rPr>
                <w:sz w:val="28"/>
                <w:szCs w:val="28"/>
              </w:rPr>
              <w:t>mk</w:t>
            </w:r>
            <w:r w:rsidR="00F7658A">
              <w:rPr>
                <w:sz w:val="28"/>
                <w:szCs w:val="28"/>
              </w:rPr>
              <w:t>b</w:t>
            </w:r>
            <w:r w:rsidR="000174F5" w:rsidRPr="003F1625">
              <w:rPr>
                <w:sz w:val="28"/>
                <w:szCs w:val="28"/>
              </w:rPr>
              <w:t xml:space="preserve">@karnopp.com </w:t>
            </w:r>
          </w:p>
          <w:p w14:paraId="0EE28B30" w14:textId="77777777" w:rsidR="000174F5" w:rsidRPr="003F1625" w:rsidRDefault="000174F5">
            <w:pPr>
              <w:pStyle w:val="BodyTextLeft"/>
              <w:rPr>
                <w:i/>
                <w:sz w:val="28"/>
                <w:szCs w:val="28"/>
              </w:rPr>
            </w:pPr>
            <w:r w:rsidRPr="003F1625">
              <w:rPr>
                <w:i/>
                <w:sz w:val="28"/>
                <w:szCs w:val="28"/>
              </w:rPr>
              <w:t>Attorneys for Amicus Curiae</w:t>
            </w:r>
          </w:p>
          <w:p w14:paraId="240265CA" w14:textId="77777777" w:rsidR="000174F5" w:rsidRPr="003F1625" w:rsidRDefault="000174F5">
            <w:pPr>
              <w:pStyle w:val="BodyTextLeft"/>
              <w:rPr>
                <w:i/>
                <w:sz w:val="28"/>
                <w:szCs w:val="28"/>
              </w:rPr>
            </w:pPr>
            <w:r w:rsidRPr="003F1625">
              <w:rPr>
                <w:i/>
                <w:sz w:val="28"/>
                <w:szCs w:val="28"/>
              </w:rPr>
              <w:t>Community Renewable Energy Association</w:t>
            </w:r>
          </w:p>
        </w:tc>
        <w:tc>
          <w:tcPr>
            <w:tcW w:w="270" w:type="dxa"/>
          </w:tcPr>
          <w:p w14:paraId="0B07B673" w14:textId="77777777" w:rsidR="00CC5472" w:rsidRPr="003F1625" w:rsidRDefault="00CC5472">
            <w:pPr>
              <w:pStyle w:val="BodyTextLeft"/>
              <w:rPr>
                <w:sz w:val="28"/>
                <w:szCs w:val="28"/>
              </w:rPr>
            </w:pPr>
          </w:p>
        </w:tc>
        <w:tc>
          <w:tcPr>
            <w:tcW w:w="4385" w:type="dxa"/>
          </w:tcPr>
          <w:p w14:paraId="41EF18DE" w14:textId="77777777" w:rsidR="00CC5472" w:rsidRPr="003F1625" w:rsidRDefault="003B76DE">
            <w:pPr>
              <w:pStyle w:val="BodyTextLeft"/>
              <w:rPr>
                <w:sz w:val="28"/>
                <w:szCs w:val="28"/>
              </w:rPr>
            </w:pPr>
            <w:r w:rsidRPr="003F1625">
              <w:rPr>
                <w:sz w:val="28"/>
                <w:szCs w:val="28"/>
              </w:rPr>
              <w:t>Merissa A. Moeller</w:t>
            </w:r>
            <w:r w:rsidR="000141C4">
              <w:rPr>
                <w:sz w:val="28"/>
                <w:szCs w:val="28"/>
              </w:rPr>
              <w:t xml:space="preserve">, </w:t>
            </w:r>
            <w:proofErr w:type="spellStart"/>
            <w:r w:rsidR="000141C4">
              <w:rPr>
                <w:sz w:val="28"/>
                <w:szCs w:val="28"/>
              </w:rPr>
              <w:t>OSB</w:t>
            </w:r>
            <w:proofErr w:type="spellEnd"/>
            <w:r w:rsidR="000141C4">
              <w:rPr>
                <w:sz w:val="28"/>
                <w:szCs w:val="28"/>
              </w:rPr>
              <w:t xml:space="preserve"> #153926</w:t>
            </w:r>
          </w:p>
          <w:p w14:paraId="0C99D43E" w14:textId="77777777" w:rsidR="003B76DE" w:rsidRPr="003F1625" w:rsidRDefault="003B76DE">
            <w:pPr>
              <w:pStyle w:val="BodyTextLeft"/>
              <w:rPr>
                <w:sz w:val="28"/>
                <w:szCs w:val="28"/>
              </w:rPr>
            </w:pPr>
            <w:r w:rsidRPr="003F1625">
              <w:rPr>
                <w:sz w:val="28"/>
                <w:szCs w:val="28"/>
              </w:rPr>
              <w:t xml:space="preserve">Max M. </w:t>
            </w:r>
            <w:proofErr w:type="spellStart"/>
            <w:r w:rsidRPr="003F1625">
              <w:rPr>
                <w:sz w:val="28"/>
                <w:szCs w:val="28"/>
              </w:rPr>
              <w:t>Yoklic</w:t>
            </w:r>
            <w:proofErr w:type="spellEnd"/>
            <w:r w:rsidR="006E7FC6" w:rsidRPr="003F1625">
              <w:rPr>
                <w:sz w:val="28"/>
                <w:szCs w:val="28"/>
              </w:rPr>
              <w:t xml:space="preserve">, </w:t>
            </w:r>
            <w:proofErr w:type="spellStart"/>
            <w:r w:rsidR="006E7FC6" w:rsidRPr="003F1625">
              <w:rPr>
                <w:sz w:val="28"/>
                <w:szCs w:val="28"/>
              </w:rPr>
              <w:t>OSB</w:t>
            </w:r>
            <w:proofErr w:type="spellEnd"/>
            <w:r w:rsidR="006E7FC6" w:rsidRPr="003F1625">
              <w:rPr>
                <w:sz w:val="28"/>
                <w:szCs w:val="28"/>
              </w:rPr>
              <w:t xml:space="preserve"> #194865</w:t>
            </w:r>
          </w:p>
          <w:p w14:paraId="04700EF7" w14:textId="77777777" w:rsidR="003B76DE" w:rsidRPr="003F1625" w:rsidRDefault="003B76DE">
            <w:pPr>
              <w:pStyle w:val="BodyTextLeft"/>
              <w:rPr>
                <w:sz w:val="28"/>
                <w:szCs w:val="28"/>
              </w:rPr>
            </w:pPr>
            <w:r w:rsidRPr="003F1625">
              <w:rPr>
                <w:sz w:val="28"/>
                <w:szCs w:val="28"/>
              </w:rPr>
              <w:t>Crystal S. Chase</w:t>
            </w:r>
            <w:r w:rsidR="006E7FC6" w:rsidRPr="003F1625">
              <w:rPr>
                <w:sz w:val="28"/>
                <w:szCs w:val="28"/>
              </w:rPr>
              <w:t xml:space="preserve">, </w:t>
            </w:r>
            <w:proofErr w:type="spellStart"/>
            <w:r w:rsidR="006E7FC6" w:rsidRPr="003F1625">
              <w:rPr>
                <w:sz w:val="28"/>
                <w:szCs w:val="28"/>
              </w:rPr>
              <w:t>OSB</w:t>
            </w:r>
            <w:proofErr w:type="spellEnd"/>
            <w:r w:rsidR="006E7FC6" w:rsidRPr="003F1625">
              <w:rPr>
                <w:sz w:val="28"/>
                <w:szCs w:val="28"/>
              </w:rPr>
              <w:t xml:space="preserve"> #093104</w:t>
            </w:r>
          </w:p>
          <w:p w14:paraId="59FAD54C" w14:textId="77777777" w:rsidR="003B76DE" w:rsidRPr="003F1625" w:rsidRDefault="003B76DE">
            <w:pPr>
              <w:pStyle w:val="BodyTextLeft"/>
              <w:rPr>
                <w:sz w:val="28"/>
                <w:szCs w:val="28"/>
              </w:rPr>
            </w:pPr>
            <w:r w:rsidRPr="003F1625">
              <w:rPr>
                <w:sz w:val="28"/>
                <w:szCs w:val="28"/>
              </w:rPr>
              <w:t>Timothy L. McMahan</w:t>
            </w:r>
            <w:r w:rsidR="006E7FC6" w:rsidRPr="003F1625">
              <w:rPr>
                <w:sz w:val="28"/>
                <w:szCs w:val="28"/>
              </w:rPr>
              <w:t xml:space="preserve">, </w:t>
            </w:r>
            <w:proofErr w:type="spellStart"/>
            <w:r w:rsidR="006E7FC6" w:rsidRPr="003F1625">
              <w:rPr>
                <w:sz w:val="28"/>
                <w:szCs w:val="28"/>
              </w:rPr>
              <w:t>OSB</w:t>
            </w:r>
            <w:proofErr w:type="spellEnd"/>
            <w:r w:rsidR="006E7FC6" w:rsidRPr="003F1625">
              <w:rPr>
                <w:sz w:val="28"/>
                <w:szCs w:val="28"/>
              </w:rPr>
              <w:t xml:space="preserve"> #984624</w:t>
            </w:r>
          </w:p>
          <w:p w14:paraId="06D5ADF6" w14:textId="77777777" w:rsidR="003B76DE" w:rsidRPr="003F1625" w:rsidRDefault="003B76DE">
            <w:pPr>
              <w:pStyle w:val="BodyTextLeft"/>
              <w:rPr>
                <w:sz w:val="28"/>
                <w:szCs w:val="28"/>
              </w:rPr>
            </w:pPr>
            <w:proofErr w:type="spellStart"/>
            <w:r w:rsidRPr="003F1625">
              <w:rPr>
                <w:sz w:val="28"/>
                <w:szCs w:val="28"/>
              </w:rPr>
              <w:t>Stoel</w:t>
            </w:r>
            <w:proofErr w:type="spellEnd"/>
            <w:r w:rsidRPr="003F1625">
              <w:rPr>
                <w:sz w:val="28"/>
                <w:szCs w:val="28"/>
              </w:rPr>
              <w:t xml:space="preserve"> Rives</w:t>
            </w:r>
            <w:r w:rsidR="006E7FC6" w:rsidRPr="003F1625">
              <w:rPr>
                <w:sz w:val="28"/>
                <w:szCs w:val="28"/>
              </w:rPr>
              <w:t>,</w:t>
            </w:r>
            <w:r w:rsidRPr="003F1625">
              <w:rPr>
                <w:sz w:val="28"/>
                <w:szCs w:val="28"/>
              </w:rPr>
              <w:t xml:space="preserve"> LLP</w:t>
            </w:r>
          </w:p>
          <w:p w14:paraId="4E7F78AE" w14:textId="77777777" w:rsidR="003B76DE" w:rsidRPr="003F1625" w:rsidRDefault="003B76DE">
            <w:pPr>
              <w:pStyle w:val="BodyTextLeft"/>
              <w:rPr>
                <w:sz w:val="28"/>
                <w:szCs w:val="28"/>
              </w:rPr>
            </w:pPr>
            <w:r w:rsidRPr="003F1625">
              <w:rPr>
                <w:sz w:val="28"/>
                <w:szCs w:val="28"/>
              </w:rPr>
              <w:t xml:space="preserve">760 SW </w:t>
            </w:r>
            <w:r w:rsidR="006E7FC6" w:rsidRPr="003F1625">
              <w:rPr>
                <w:sz w:val="28"/>
                <w:szCs w:val="28"/>
              </w:rPr>
              <w:t>9th</w:t>
            </w:r>
            <w:r w:rsidRPr="003F1625">
              <w:rPr>
                <w:sz w:val="28"/>
                <w:szCs w:val="28"/>
              </w:rPr>
              <w:t xml:space="preserve"> Avenue, Suite 3000</w:t>
            </w:r>
          </w:p>
          <w:p w14:paraId="0B457B8A" w14:textId="77777777" w:rsidR="003B76DE" w:rsidRPr="003F1625" w:rsidRDefault="003B76DE">
            <w:pPr>
              <w:pStyle w:val="BodyTextLeft"/>
              <w:rPr>
                <w:sz w:val="28"/>
                <w:szCs w:val="28"/>
              </w:rPr>
            </w:pPr>
            <w:r w:rsidRPr="003F1625">
              <w:rPr>
                <w:sz w:val="28"/>
                <w:szCs w:val="28"/>
              </w:rPr>
              <w:t>Portland, Oregon 97205</w:t>
            </w:r>
          </w:p>
          <w:p w14:paraId="03A105D3" w14:textId="77777777" w:rsidR="003B76DE" w:rsidRPr="003F1625" w:rsidRDefault="003B76DE">
            <w:pPr>
              <w:pStyle w:val="BodyTextLeft"/>
              <w:rPr>
                <w:sz w:val="28"/>
                <w:szCs w:val="28"/>
              </w:rPr>
            </w:pPr>
            <w:r w:rsidRPr="003F1625">
              <w:rPr>
                <w:sz w:val="28"/>
                <w:szCs w:val="28"/>
              </w:rPr>
              <w:t xml:space="preserve">Telephone:  </w:t>
            </w:r>
            <w:r w:rsidR="006E7FC6" w:rsidRPr="003F1625">
              <w:rPr>
                <w:sz w:val="28"/>
                <w:szCs w:val="28"/>
              </w:rPr>
              <w:t>503-294-9455</w:t>
            </w:r>
          </w:p>
          <w:p w14:paraId="536914F7" w14:textId="77777777" w:rsidR="003B76DE" w:rsidRPr="003F1625" w:rsidRDefault="00621131">
            <w:pPr>
              <w:pStyle w:val="BodyTextLeft"/>
              <w:rPr>
                <w:sz w:val="28"/>
                <w:szCs w:val="28"/>
              </w:rPr>
            </w:pPr>
            <w:r>
              <w:rPr>
                <w:sz w:val="28"/>
                <w:szCs w:val="28"/>
              </w:rPr>
              <w:t>Email:  merissa.</w:t>
            </w:r>
            <w:r w:rsidR="006E7FC6" w:rsidRPr="003F1625">
              <w:rPr>
                <w:sz w:val="28"/>
                <w:szCs w:val="28"/>
              </w:rPr>
              <w:t>moeller@stoel.com</w:t>
            </w:r>
          </w:p>
          <w:p w14:paraId="0156331B" w14:textId="77C5A72C" w:rsidR="003B76DE" w:rsidRPr="003F1625" w:rsidRDefault="003B76DE">
            <w:pPr>
              <w:pStyle w:val="BodyTextLeft"/>
              <w:rPr>
                <w:i/>
                <w:sz w:val="28"/>
                <w:szCs w:val="28"/>
              </w:rPr>
            </w:pPr>
            <w:r w:rsidRPr="003F1625">
              <w:rPr>
                <w:i/>
                <w:sz w:val="28"/>
                <w:szCs w:val="28"/>
              </w:rPr>
              <w:t>Attorneys for West Prineville Solar Farm, LLC</w:t>
            </w:r>
          </w:p>
          <w:p w14:paraId="62F35172" w14:textId="77777777" w:rsidR="005C6644" w:rsidRPr="003F1625" w:rsidRDefault="005C6644">
            <w:pPr>
              <w:pStyle w:val="BodyTextLeft"/>
              <w:rPr>
                <w:i/>
                <w:sz w:val="28"/>
                <w:szCs w:val="28"/>
              </w:rPr>
            </w:pPr>
          </w:p>
        </w:tc>
      </w:tr>
      <w:tr w:rsidR="00CC5472" w:rsidRPr="003F1625" w14:paraId="55B53AD8" w14:textId="77777777" w:rsidTr="00B756E4">
        <w:tc>
          <w:tcPr>
            <w:tcW w:w="4320" w:type="dxa"/>
          </w:tcPr>
          <w:p w14:paraId="2E2D4E5D" w14:textId="77777777" w:rsidR="005C6644" w:rsidRPr="003F1625" w:rsidRDefault="005C6644" w:rsidP="005C6644">
            <w:pPr>
              <w:pStyle w:val="BodyTextLeft"/>
              <w:rPr>
                <w:sz w:val="28"/>
                <w:szCs w:val="28"/>
              </w:rPr>
            </w:pPr>
            <w:r w:rsidRPr="003F1625">
              <w:rPr>
                <w:sz w:val="28"/>
                <w:szCs w:val="28"/>
              </w:rPr>
              <w:t>Peter O</w:t>
            </w:r>
            <w:r w:rsidR="000A3C85" w:rsidRPr="003F1625">
              <w:rPr>
                <w:sz w:val="28"/>
                <w:szCs w:val="28"/>
              </w:rPr>
              <w:t>.</w:t>
            </w:r>
            <w:r w:rsidRPr="003F1625">
              <w:rPr>
                <w:sz w:val="28"/>
                <w:szCs w:val="28"/>
              </w:rPr>
              <w:t xml:space="preserve"> Watts</w:t>
            </w:r>
            <w:r w:rsidR="000A3C85" w:rsidRPr="003F1625">
              <w:rPr>
                <w:sz w:val="28"/>
                <w:szCs w:val="28"/>
              </w:rPr>
              <w:t xml:space="preserve">, </w:t>
            </w:r>
            <w:proofErr w:type="spellStart"/>
            <w:r w:rsidR="000A3C85" w:rsidRPr="003F1625">
              <w:rPr>
                <w:sz w:val="28"/>
                <w:szCs w:val="28"/>
              </w:rPr>
              <w:t>OSB</w:t>
            </w:r>
            <w:proofErr w:type="spellEnd"/>
            <w:r w:rsidR="000A3C85" w:rsidRPr="003F1625">
              <w:rPr>
                <w:sz w:val="28"/>
                <w:szCs w:val="28"/>
              </w:rPr>
              <w:t xml:space="preserve"> #025368</w:t>
            </w:r>
          </w:p>
          <w:p w14:paraId="1B241D74" w14:textId="77777777" w:rsidR="00EB4705" w:rsidRPr="003F1625" w:rsidRDefault="00EB4705" w:rsidP="005C6644">
            <w:pPr>
              <w:pStyle w:val="BodyTextLeft"/>
              <w:rPr>
                <w:sz w:val="28"/>
                <w:szCs w:val="28"/>
              </w:rPr>
            </w:pPr>
            <w:r w:rsidRPr="003F1625">
              <w:rPr>
                <w:sz w:val="28"/>
                <w:szCs w:val="28"/>
              </w:rPr>
              <w:t>Peter O. Watts, PC</w:t>
            </w:r>
          </w:p>
          <w:p w14:paraId="538AB28C" w14:textId="77777777" w:rsidR="005C6644" w:rsidRPr="003F1625" w:rsidRDefault="005C6644" w:rsidP="005C6644">
            <w:pPr>
              <w:pStyle w:val="BodyTextLeft"/>
              <w:rPr>
                <w:sz w:val="28"/>
                <w:szCs w:val="28"/>
              </w:rPr>
            </w:pPr>
            <w:r w:rsidRPr="003F1625">
              <w:rPr>
                <w:sz w:val="28"/>
                <w:szCs w:val="28"/>
              </w:rPr>
              <w:t>1980 Willamette Falls Dr.</w:t>
            </w:r>
            <w:r w:rsidR="000A3C85" w:rsidRPr="003F1625">
              <w:rPr>
                <w:sz w:val="28"/>
                <w:szCs w:val="28"/>
              </w:rPr>
              <w:t>,</w:t>
            </w:r>
            <w:r w:rsidRPr="003F1625">
              <w:rPr>
                <w:sz w:val="28"/>
                <w:szCs w:val="28"/>
              </w:rPr>
              <w:t xml:space="preserve"> Suite 200</w:t>
            </w:r>
          </w:p>
          <w:p w14:paraId="0AF082AC" w14:textId="77777777" w:rsidR="005C6644" w:rsidRPr="003F1625" w:rsidRDefault="005C6644" w:rsidP="005C6644">
            <w:pPr>
              <w:pStyle w:val="BodyTextLeft"/>
              <w:rPr>
                <w:sz w:val="28"/>
                <w:szCs w:val="28"/>
              </w:rPr>
            </w:pPr>
            <w:r w:rsidRPr="003F1625">
              <w:rPr>
                <w:sz w:val="28"/>
                <w:szCs w:val="28"/>
              </w:rPr>
              <w:t>West Linn</w:t>
            </w:r>
            <w:r w:rsidR="00893A28" w:rsidRPr="003F1625">
              <w:rPr>
                <w:sz w:val="28"/>
                <w:szCs w:val="28"/>
              </w:rPr>
              <w:t>,</w:t>
            </w:r>
            <w:r w:rsidRPr="003F1625">
              <w:rPr>
                <w:sz w:val="28"/>
                <w:szCs w:val="28"/>
              </w:rPr>
              <w:t xml:space="preserve"> O</w:t>
            </w:r>
            <w:r w:rsidR="00893A28" w:rsidRPr="003F1625">
              <w:rPr>
                <w:sz w:val="28"/>
                <w:szCs w:val="28"/>
              </w:rPr>
              <w:t>regon</w:t>
            </w:r>
            <w:r w:rsidRPr="003F1625">
              <w:rPr>
                <w:sz w:val="28"/>
                <w:szCs w:val="28"/>
              </w:rPr>
              <w:t xml:space="preserve"> 97068</w:t>
            </w:r>
          </w:p>
          <w:p w14:paraId="47D1C3D8" w14:textId="667FF9BD" w:rsidR="00EB4705" w:rsidRPr="003F1625" w:rsidRDefault="001823F5" w:rsidP="005C6644">
            <w:pPr>
              <w:pStyle w:val="BodyTextLeft"/>
              <w:rPr>
                <w:sz w:val="28"/>
                <w:szCs w:val="28"/>
              </w:rPr>
            </w:pPr>
            <w:r>
              <w:rPr>
                <w:sz w:val="28"/>
                <w:szCs w:val="28"/>
              </w:rPr>
              <w:t>Telep</w:t>
            </w:r>
            <w:r w:rsidR="00B97536">
              <w:rPr>
                <w:sz w:val="28"/>
                <w:szCs w:val="28"/>
              </w:rPr>
              <w:t xml:space="preserve">hone: </w:t>
            </w:r>
            <w:r w:rsidR="00EE7D34">
              <w:rPr>
                <w:sz w:val="28"/>
                <w:szCs w:val="28"/>
              </w:rPr>
              <w:t xml:space="preserve"> </w:t>
            </w:r>
            <w:r w:rsidR="00B97536">
              <w:rPr>
                <w:sz w:val="28"/>
                <w:szCs w:val="28"/>
              </w:rPr>
              <w:t>503-657-0406</w:t>
            </w:r>
            <w:r w:rsidR="00EB4705" w:rsidRPr="003F1625">
              <w:rPr>
                <w:sz w:val="28"/>
                <w:szCs w:val="28"/>
              </w:rPr>
              <w:t>, x 29</w:t>
            </w:r>
          </w:p>
          <w:p w14:paraId="55531A9F" w14:textId="0312D4D3" w:rsidR="00893A28" w:rsidRPr="003F1625" w:rsidRDefault="001823F5" w:rsidP="005C6644">
            <w:pPr>
              <w:pStyle w:val="BodyTextLeft"/>
              <w:rPr>
                <w:sz w:val="28"/>
                <w:szCs w:val="28"/>
              </w:rPr>
            </w:pPr>
            <w:r>
              <w:rPr>
                <w:sz w:val="28"/>
                <w:szCs w:val="28"/>
              </w:rPr>
              <w:t xml:space="preserve">Email: </w:t>
            </w:r>
            <w:r w:rsidR="00EE7D34">
              <w:rPr>
                <w:sz w:val="28"/>
                <w:szCs w:val="28"/>
              </w:rPr>
              <w:t xml:space="preserve"> </w:t>
            </w:r>
            <w:r w:rsidR="00893A28" w:rsidRPr="003F1625">
              <w:rPr>
                <w:sz w:val="28"/>
                <w:szCs w:val="28"/>
              </w:rPr>
              <w:t xml:space="preserve">peter@peterowattspc.com </w:t>
            </w:r>
          </w:p>
          <w:p w14:paraId="703127D7" w14:textId="77777777" w:rsidR="005B095C" w:rsidRDefault="005B095C" w:rsidP="0041275F">
            <w:pPr>
              <w:pStyle w:val="BodyTextLeft"/>
              <w:rPr>
                <w:sz w:val="28"/>
                <w:szCs w:val="28"/>
              </w:rPr>
            </w:pPr>
          </w:p>
          <w:p w14:paraId="28D25A65" w14:textId="77777777" w:rsidR="0041275F" w:rsidRPr="003F1625" w:rsidRDefault="0041275F" w:rsidP="0041275F">
            <w:pPr>
              <w:pStyle w:val="BodyTextLeft"/>
              <w:rPr>
                <w:sz w:val="28"/>
                <w:szCs w:val="28"/>
              </w:rPr>
            </w:pPr>
            <w:r w:rsidRPr="003F1625">
              <w:rPr>
                <w:sz w:val="28"/>
                <w:szCs w:val="28"/>
              </w:rPr>
              <w:t xml:space="preserve">John R. </w:t>
            </w:r>
            <w:proofErr w:type="spellStart"/>
            <w:r w:rsidRPr="003F1625">
              <w:rPr>
                <w:sz w:val="28"/>
                <w:szCs w:val="28"/>
              </w:rPr>
              <w:t>Eisler</w:t>
            </w:r>
            <w:proofErr w:type="spellEnd"/>
            <w:r w:rsidRPr="003F1625">
              <w:rPr>
                <w:sz w:val="28"/>
                <w:szCs w:val="28"/>
              </w:rPr>
              <w:t xml:space="preserve">, </w:t>
            </w:r>
            <w:proofErr w:type="spellStart"/>
            <w:r w:rsidRPr="003F1625">
              <w:rPr>
                <w:sz w:val="28"/>
                <w:szCs w:val="28"/>
              </w:rPr>
              <w:t>OSB</w:t>
            </w:r>
            <w:proofErr w:type="spellEnd"/>
            <w:r w:rsidRPr="003F1625">
              <w:rPr>
                <w:sz w:val="28"/>
                <w:szCs w:val="28"/>
              </w:rPr>
              <w:t xml:space="preserve"> #184886</w:t>
            </w:r>
          </w:p>
          <w:p w14:paraId="1BBD9EB6" w14:textId="77777777" w:rsidR="00A41E72" w:rsidRDefault="0041275F" w:rsidP="0041275F">
            <w:pPr>
              <w:pStyle w:val="BodyTextLeft"/>
              <w:rPr>
                <w:sz w:val="28"/>
                <w:szCs w:val="28"/>
              </w:rPr>
            </w:pPr>
            <w:r w:rsidRPr="003F1625">
              <w:rPr>
                <w:sz w:val="28"/>
                <w:szCs w:val="28"/>
              </w:rPr>
              <w:t>Crook County Counsel's Office</w:t>
            </w:r>
          </w:p>
          <w:p w14:paraId="168B9FEA" w14:textId="40FBECF1" w:rsidR="0041275F" w:rsidRPr="003F1625" w:rsidRDefault="00414236" w:rsidP="0041275F">
            <w:pPr>
              <w:pStyle w:val="BodyTextLeft"/>
              <w:rPr>
                <w:sz w:val="28"/>
                <w:szCs w:val="28"/>
              </w:rPr>
            </w:pPr>
            <w:r>
              <w:rPr>
                <w:sz w:val="28"/>
                <w:szCs w:val="28"/>
              </w:rPr>
              <w:t>77</w:t>
            </w:r>
            <w:r w:rsidR="0041275F" w:rsidRPr="003F1625">
              <w:rPr>
                <w:sz w:val="28"/>
                <w:szCs w:val="28"/>
              </w:rPr>
              <w:t>300 NE 3</w:t>
            </w:r>
            <w:r w:rsidR="0041275F" w:rsidRPr="003F1625">
              <w:rPr>
                <w:sz w:val="28"/>
                <w:szCs w:val="28"/>
                <w:vertAlign w:val="superscript"/>
              </w:rPr>
              <w:t>rd</w:t>
            </w:r>
            <w:r w:rsidR="0041275F" w:rsidRPr="003F1625">
              <w:rPr>
                <w:sz w:val="28"/>
                <w:szCs w:val="28"/>
              </w:rPr>
              <w:t xml:space="preserve"> Street</w:t>
            </w:r>
          </w:p>
          <w:p w14:paraId="05829C05" w14:textId="77777777" w:rsidR="0041275F" w:rsidRPr="003F1625" w:rsidRDefault="0041275F" w:rsidP="0041275F">
            <w:pPr>
              <w:pStyle w:val="BodyTextLeft"/>
              <w:rPr>
                <w:sz w:val="28"/>
                <w:szCs w:val="28"/>
              </w:rPr>
            </w:pPr>
            <w:r w:rsidRPr="003F1625">
              <w:rPr>
                <w:sz w:val="28"/>
                <w:szCs w:val="28"/>
              </w:rPr>
              <w:t>Prineville, Oregon 97754</w:t>
            </w:r>
          </w:p>
          <w:p w14:paraId="7EA80E48" w14:textId="541FE3D3" w:rsidR="0041275F" w:rsidRPr="003F1625" w:rsidRDefault="001823F5" w:rsidP="0041275F">
            <w:pPr>
              <w:pStyle w:val="BodyTextLeft"/>
              <w:rPr>
                <w:sz w:val="28"/>
                <w:szCs w:val="28"/>
              </w:rPr>
            </w:pPr>
            <w:r>
              <w:rPr>
                <w:sz w:val="28"/>
                <w:szCs w:val="28"/>
              </w:rPr>
              <w:t>Telep</w:t>
            </w:r>
            <w:r w:rsidR="0041275F" w:rsidRPr="003F1625">
              <w:rPr>
                <w:sz w:val="28"/>
                <w:szCs w:val="28"/>
              </w:rPr>
              <w:t xml:space="preserve">hone: </w:t>
            </w:r>
            <w:r w:rsidR="00EE7D34">
              <w:rPr>
                <w:sz w:val="28"/>
                <w:szCs w:val="28"/>
              </w:rPr>
              <w:t xml:space="preserve"> </w:t>
            </w:r>
            <w:r w:rsidR="0041275F" w:rsidRPr="003F1625">
              <w:rPr>
                <w:sz w:val="28"/>
                <w:szCs w:val="28"/>
              </w:rPr>
              <w:t>541-416-3919</w:t>
            </w:r>
          </w:p>
          <w:p w14:paraId="1038CF47" w14:textId="390B7D9F" w:rsidR="0041275F" w:rsidRPr="003F1625" w:rsidRDefault="001823F5" w:rsidP="0041275F">
            <w:pPr>
              <w:pStyle w:val="BodyTextLeft"/>
              <w:rPr>
                <w:sz w:val="28"/>
                <w:szCs w:val="28"/>
              </w:rPr>
            </w:pPr>
            <w:r>
              <w:rPr>
                <w:sz w:val="28"/>
                <w:szCs w:val="28"/>
              </w:rPr>
              <w:t xml:space="preserve">Email: </w:t>
            </w:r>
            <w:r w:rsidR="00EE7D34">
              <w:rPr>
                <w:sz w:val="28"/>
                <w:szCs w:val="28"/>
              </w:rPr>
              <w:t xml:space="preserve"> </w:t>
            </w:r>
            <w:r w:rsidR="00F7658A">
              <w:rPr>
                <w:sz w:val="28"/>
                <w:szCs w:val="28"/>
              </w:rPr>
              <w:t>j</w:t>
            </w:r>
            <w:r w:rsidR="0041275F" w:rsidRPr="003F1625">
              <w:rPr>
                <w:sz w:val="28"/>
                <w:szCs w:val="28"/>
              </w:rPr>
              <w:t xml:space="preserve">ohn.eisler@co.crook.or.us </w:t>
            </w:r>
          </w:p>
          <w:p w14:paraId="6E7498A7" w14:textId="6673ECF1" w:rsidR="0041275F" w:rsidRDefault="0041275F" w:rsidP="0041275F">
            <w:pPr>
              <w:pStyle w:val="BodyTextLeft"/>
              <w:rPr>
                <w:i/>
                <w:sz w:val="28"/>
                <w:szCs w:val="28"/>
              </w:rPr>
            </w:pPr>
            <w:r w:rsidRPr="003F1625">
              <w:rPr>
                <w:i/>
                <w:sz w:val="28"/>
                <w:szCs w:val="28"/>
              </w:rPr>
              <w:t>Attorneys for Crook County</w:t>
            </w:r>
          </w:p>
          <w:p w14:paraId="0A1131E9" w14:textId="77777777" w:rsidR="0076056C" w:rsidRPr="0076056C" w:rsidRDefault="0076056C" w:rsidP="0041275F">
            <w:pPr>
              <w:pStyle w:val="BodyTextLeft"/>
              <w:rPr>
                <w:sz w:val="28"/>
                <w:szCs w:val="28"/>
              </w:rPr>
            </w:pPr>
          </w:p>
          <w:p w14:paraId="50B47935" w14:textId="77777777" w:rsidR="005C6644" w:rsidRPr="003F1625" w:rsidRDefault="005C6644" w:rsidP="005C6644">
            <w:pPr>
              <w:pStyle w:val="BodyTextLeft"/>
              <w:rPr>
                <w:sz w:val="28"/>
                <w:szCs w:val="28"/>
              </w:rPr>
            </w:pPr>
          </w:p>
          <w:p w14:paraId="369ABD9F" w14:textId="77777777" w:rsidR="00B9395D" w:rsidRPr="003F1625" w:rsidRDefault="00B9395D" w:rsidP="005C6644">
            <w:pPr>
              <w:pStyle w:val="BodyTextLeft"/>
              <w:rPr>
                <w:i/>
                <w:sz w:val="28"/>
                <w:szCs w:val="28"/>
              </w:rPr>
            </w:pPr>
          </w:p>
        </w:tc>
        <w:tc>
          <w:tcPr>
            <w:tcW w:w="270" w:type="dxa"/>
          </w:tcPr>
          <w:p w14:paraId="69694EA8" w14:textId="77777777" w:rsidR="00CC5472" w:rsidRPr="003F1625" w:rsidRDefault="00CC5472">
            <w:pPr>
              <w:pStyle w:val="BodyTextLeft"/>
              <w:rPr>
                <w:sz w:val="28"/>
                <w:szCs w:val="28"/>
              </w:rPr>
            </w:pPr>
          </w:p>
        </w:tc>
        <w:tc>
          <w:tcPr>
            <w:tcW w:w="4385" w:type="dxa"/>
          </w:tcPr>
          <w:p w14:paraId="1A83241F" w14:textId="77777777" w:rsidR="001823F5" w:rsidRPr="003F1625" w:rsidRDefault="001823F5" w:rsidP="001823F5">
            <w:pPr>
              <w:pStyle w:val="BodyTextLeft"/>
              <w:rPr>
                <w:sz w:val="28"/>
                <w:szCs w:val="28"/>
              </w:rPr>
            </w:pPr>
            <w:r>
              <w:rPr>
                <w:sz w:val="28"/>
                <w:szCs w:val="28"/>
              </w:rPr>
              <w:t xml:space="preserve">Denise G. </w:t>
            </w:r>
            <w:proofErr w:type="spellStart"/>
            <w:r>
              <w:rPr>
                <w:sz w:val="28"/>
                <w:szCs w:val="28"/>
              </w:rPr>
              <w:t>Fjordbeck</w:t>
            </w:r>
            <w:proofErr w:type="spellEnd"/>
            <w:r w:rsidRPr="003F1625">
              <w:rPr>
                <w:sz w:val="28"/>
                <w:szCs w:val="28"/>
              </w:rPr>
              <w:t xml:space="preserve">, </w:t>
            </w:r>
            <w:proofErr w:type="spellStart"/>
            <w:r w:rsidRPr="003F1625">
              <w:rPr>
                <w:sz w:val="28"/>
                <w:szCs w:val="28"/>
              </w:rPr>
              <w:t>OSB</w:t>
            </w:r>
            <w:proofErr w:type="spellEnd"/>
            <w:r w:rsidRPr="003F1625">
              <w:rPr>
                <w:sz w:val="28"/>
                <w:szCs w:val="28"/>
              </w:rPr>
              <w:t xml:space="preserve"> #</w:t>
            </w:r>
            <w:r>
              <w:rPr>
                <w:sz w:val="28"/>
                <w:szCs w:val="28"/>
              </w:rPr>
              <w:t>822578</w:t>
            </w:r>
          </w:p>
          <w:p w14:paraId="340D823E" w14:textId="2790179E" w:rsidR="001823F5" w:rsidRDefault="001823F5" w:rsidP="001823F5">
            <w:pPr>
              <w:pStyle w:val="BodyTextLeft"/>
              <w:rPr>
                <w:sz w:val="28"/>
                <w:szCs w:val="28"/>
              </w:rPr>
            </w:pPr>
            <w:r>
              <w:rPr>
                <w:sz w:val="28"/>
                <w:szCs w:val="28"/>
              </w:rPr>
              <w:t>Attorney-in-Charge, Civil/Admin. Appeals</w:t>
            </w:r>
          </w:p>
          <w:p w14:paraId="054A5B38" w14:textId="77777777" w:rsidR="001823F5" w:rsidRPr="003F1625" w:rsidRDefault="001823F5" w:rsidP="001823F5">
            <w:pPr>
              <w:pStyle w:val="BodyTextLeft"/>
              <w:rPr>
                <w:sz w:val="28"/>
                <w:szCs w:val="28"/>
              </w:rPr>
            </w:pPr>
            <w:r w:rsidRPr="003F1625">
              <w:rPr>
                <w:sz w:val="28"/>
                <w:szCs w:val="28"/>
              </w:rPr>
              <w:t>Oregon Department of Justice</w:t>
            </w:r>
          </w:p>
          <w:p w14:paraId="109A2CE4" w14:textId="77777777" w:rsidR="001823F5" w:rsidRPr="003F1625" w:rsidRDefault="001823F5" w:rsidP="001823F5">
            <w:pPr>
              <w:pStyle w:val="BodyTextLeft"/>
              <w:rPr>
                <w:sz w:val="28"/>
                <w:szCs w:val="28"/>
              </w:rPr>
            </w:pPr>
            <w:r w:rsidRPr="003F1625">
              <w:rPr>
                <w:sz w:val="28"/>
                <w:szCs w:val="28"/>
              </w:rPr>
              <w:t>1162 Court Street NE</w:t>
            </w:r>
          </w:p>
          <w:p w14:paraId="4CE6ECC8" w14:textId="348F4948" w:rsidR="000721D8" w:rsidRPr="003F1625" w:rsidRDefault="001823F5" w:rsidP="0041275F">
            <w:pPr>
              <w:pStyle w:val="BodyTextLeft"/>
              <w:rPr>
                <w:sz w:val="28"/>
                <w:szCs w:val="28"/>
              </w:rPr>
            </w:pPr>
            <w:r w:rsidRPr="003F1625">
              <w:rPr>
                <w:sz w:val="28"/>
                <w:szCs w:val="28"/>
              </w:rPr>
              <w:t>Salem, Oregon  97301</w:t>
            </w:r>
            <w:r>
              <w:rPr>
                <w:sz w:val="28"/>
                <w:szCs w:val="28"/>
              </w:rPr>
              <w:br/>
              <w:t>Telep</w:t>
            </w:r>
            <w:r w:rsidR="000721D8" w:rsidRPr="003F1625">
              <w:rPr>
                <w:sz w:val="28"/>
                <w:szCs w:val="28"/>
              </w:rPr>
              <w:t xml:space="preserve">hone: </w:t>
            </w:r>
            <w:r w:rsidR="00EE7D34">
              <w:rPr>
                <w:sz w:val="28"/>
                <w:szCs w:val="28"/>
              </w:rPr>
              <w:t xml:space="preserve"> </w:t>
            </w:r>
            <w:r w:rsidR="00A04FD3" w:rsidRPr="003F1625">
              <w:rPr>
                <w:sz w:val="28"/>
                <w:szCs w:val="28"/>
              </w:rPr>
              <w:t>503-378-4402</w:t>
            </w:r>
          </w:p>
          <w:p w14:paraId="52169E14" w14:textId="314749CA" w:rsidR="000721D8" w:rsidRPr="003F1625" w:rsidRDefault="00EE7D34" w:rsidP="0041275F">
            <w:pPr>
              <w:pStyle w:val="BodyTextLeft"/>
              <w:rPr>
                <w:sz w:val="28"/>
                <w:szCs w:val="28"/>
              </w:rPr>
            </w:pPr>
            <w:r>
              <w:rPr>
                <w:sz w:val="28"/>
                <w:szCs w:val="28"/>
              </w:rPr>
              <w:t xml:space="preserve">Email:  </w:t>
            </w:r>
            <w:r w:rsidR="001823F5">
              <w:rPr>
                <w:sz w:val="28"/>
                <w:szCs w:val="28"/>
              </w:rPr>
              <w:t>denise.fjordbeck</w:t>
            </w:r>
            <w:r w:rsidR="00A04FD3" w:rsidRPr="003F1625">
              <w:rPr>
                <w:sz w:val="28"/>
                <w:szCs w:val="28"/>
              </w:rPr>
              <w:t>@doj.state.or.us</w:t>
            </w:r>
          </w:p>
          <w:p w14:paraId="48BB54E9" w14:textId="77777777" w:rsidR="005C6644" w:rsidRPr="003F1625" w:rsidRDefault="0041275F" w:rsidP="0041275F">
            <w:pPr>
              <w:pStyle w:val="BodyTextLeft"/>
              <w:rPr>
                <w:i/>
                <w:sz w:val="28"/>
                <w:szCs w:val="28"/>
              </w:rPr>
            </w:pPr>
            <w:r w:rsidRPr="003F1625">
              <w:rPr>
                <w:i/>
                <w:sz w:val="28"/>
                <w:szCs w:val="28"/>
              </w:rPr>
              <w:t>Attorney for Oregon Department of Fish and Wildlife</w:t>
            </w:r>
          </w:p>
        </w:tc>
      </w:tr>
    </w:tbl>
    <w:p w14:paraId="249F6642" w14:textId="77777777" w:rsidR="00CC5472" w:rsidRPr="003F1625" w:rsidRDefault="00CC5472">
      <w:pPr>
        <w:rPr>
          <w:sz w:val="28"/>
          <w:szCs w:val="28"/>
        </w:rPr>
      </w:pPr>
    </w:p>
    <w:p w14:paraId="1222BA23" w14:textId="77777777" w:rsidR="00CC5472" w:rsidRPr="003F1625" w:rsidRDefault="00CC5472">
      <w:pPr>
        <w:rPr>
          <w:sz w:val="28"/>
          <w:szCs w:val="28"/>
        </w:rPr>
        <w:sectPr w:rsidR="00CC5472" w:rsidRPr="003F1625" w:rsidSect="008B5753">
          <w:pgSz w:w="12240" w:h="15840" w:code="1"/>
          <w:pgMar w:top="1260" w:right="1440" w:bottom="1080" w:left="1800" w:header="547" w:footer="720" w:gutter="0"/>
          <w:cols w:space="720"/>
          <w:docGrid w:linePitch="360"/>
        </w:sectPr>
      </w:pPr>
    </w:p>
    <w:p w14:paraId="594B811E" w14:textId="77777777" w:rsidR="00CC5472" w:rsidRPr="00091E50" w:rsidRDefault="00CC5472">
      <w:pPr>
        <w:pStyle w:val="Documenttitle"/>
        <w:rPr>
          <w:sz w:val="28"/>
          <w:szCs w:val="28"/>
          <w:u w:val="none"/>
        </w:rPr>
      </w:pPr>
      <w:r w:rsidRPr="00091E50">
        <w:rPr>
          <w:sz w:val="28"/>
          <w:szCs w:val="28"/>
          <w:u w:val="none"/>
        </w:rPr>
        <w:lastRenderedPageBreak/>
        <w:t>INDEX</w:t>
      </w:r>
    </w:p>
    <w:p w14:paraId="40A542C6" w14:textId="77777777" w:rsidR="00CC5472" w:rsidRPr="003F1625" w:rsidRDefault="00CC5472">
      <w:pPr>
        <w:jc w:val="right"/>
        <w:rPr>
          <w:sz w:val="28"/>
          <w:szCs w:val="28"/>
          <w:u w:val="single"/>
        </w:rPr>
      </w:pPr>
      <w:r w:rsidRPr="003F1625">
        <w:rPr>
          <w:sz w:val="28"/>
          <w:szCs w:val="28"/>
          <w:u w:val="single"/>
        </w:rPr>
        <w:t>PAGE</w:t>
      </w:r>
    </w:p>
    <w:p w14:paraId="1EFF8ED5" w14:textId="77777777" w:rsidR="00CC5472" w:rsidRDefault="00CC5472">
      <w:pPr>
        <w:rPr>
          <w:sz w:val="28"/>
          <w:szCs w:val="28"/>
        </w:rPr>
      </w:pPr>
    </w:p>
    <w:p w14:paraId="565A1933" w14:textId="40B98CDB" w:rsidR="00293B5B" w:rsidRDefault="008E5BD8">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78292812" w:history="1">
        <w:r w:rsidR="00293B5B" w:rsidRPr="009C602C">
          <w:rPr>
            <w:rStyle w:val="Hyperlink"/>
          </w:rPr>
          <w:t>I.</w:t>
        </w:r>
        <w:r w:rsidR="00293B5B">
          <w:rPr>
            <w:rFonts w:asciiTheme="minorHAnsi" w:eastAsiaTheme="minorEastAsia" w:hAnsiTheme="minorHAnsi" w:cstheme="minorBidi"/>
            <w:caps w:val="0"/>
            <w:sz w:val="22"/>
            <w:szCs w:val="22"/>
          </w:rPr>
          <w:tab/>
        </w:r>
        <w:r w:rsidR="00293B5B" w:rsidRPr="009C602C">
          <w:rPr>
            <w:rStyle w:val="Hyperlink"/>
          </w:rPr>
          <w:t>STATEMENT OF THE CASE</w:t>
        </w:r>
        <w:r w:rsidR="00293B5B">
          <w:rPr>
            <w:webHidden/>
          </w:rPr>
          <w:tab/>
        </w:r>
        <w:r w:rsidR="00293B5B">
          <w:rPr>
            <w:webHidden/>
          </w:rPr>
          <w:fldChar w:fldCharType="begin"/>
        </w:r>
        <w:r w:rsidR="00293B5B">
          <w:rPr>
            <w:webHidden/>
          </w:rPr>
          <w:instrText xml:space="preserve"> PAGEREF _Toc78292812 \h </w:instrText>
        </w:r>
        <w:r w:rsidR="00293B5B">
          <w:rPr>
            <w:webHidden/>
          </w:rPr>
        </w:r>
        <w:r w:rsidR="00293B5B">
          <w:rPr>
            <w:webHidden/>
          </w:rPr>
          <w:fldChar w:fldCharType="separate"/>
        </w:r>
        <w:r w:rsidR="00293B5B">
          <w:rPr>
            <w:webHidden/>
          </w:rPr>
          <w:t>1</w:t>
        </w:r>
        <w:r w:rsidR="00293B5B">
          <w:rPr>
            <w:webHidden/>
          </w:rPr>
          <w:fldChar w:fldCharType="end"/>
        </w:r>
      </w:hyperlink>
    </w:p>
    <w:p w14:paraId="5985A4E6" w14:textId="03358A3B" w:rsidR="00293B5B" w:rsidRDefault="00293B5B">
      <w:pPr>
        <w:pStyle w:val="TOC2"/>
        <w:tabs>
          <w:tab w:val="left" w:pos="1440"/>
        </w:tabs>
        <w:rPr>
          <w:rFonts w:asciiTheme="minorHAnsi" w:eastAsiaTheme="minorEastAsia" w:hAnsiTheme="minorHAnsi" w:cstheme="minorBidi"/>
          <w:sz w:val="22"/>
          <w:szCs w:val="22"/>
        </w:rPr>
      </w:pPr>
      <w:hyperlink w:anchor="_Toc78292813" w:history="1">
        <w:r w:rsidRPr="009C602C">
          <w:rPr>
            <w:rStyle w:val="Hyperlink"/>
          </w:rPr>
          <w:t>A.</w:t>
        </w:r>
        <w:r w:rsidRPr="009C602C">
          <w:rPr>
            <w:rStyle w:val="Hyperlink"/>
          </w:rPr>
          <w:fldChar w:fldCharType="begin"/>
        </w:r>
        <w:r w:rsidRPr="009C602C">
          <w:rPr>
            <w:rStyle w:val="Hyperlink"/>
          </w:rPr>
          <w:instrText xml:space="preserve"> MACROBUTTON NoMacro </w:instrText>
        </w:r>
        <w:r w:rsidRPr="009C602C">
          <w:rPr>
            <w:rStyle w:val="Hyperlink"/>
          </w:rPr>
          <w:fldChar w:fldCharType="separate"/>
        </w:r>
        <w:r w:rsidRPr="009C602C">
          <w:rPr>
            <w:rStyle w:val="Hyperlink"/>
          </w:rPr>
          <w:t>Error! Bookmark not defined.</w:t>
        </w:r>
        <w:r w:rsidRPr="009C602C">
          <w:rPr>
            <w:rStyle w:val="Hyperlink"/>
          </w:rPr>
          <w:fldChar w:fldCharType="end"/>
        </w:r>
        <w:r>
          <w:rPr>
            <w:rFonts w:asciiTheme="minorHAnsi" w:eastAsiaTheme="minorEastAsia" w:hAnsiTheme="minorHAnsi" w:cstheme="minorBidi"/>
            <w:sz w:val="22"/>
            <w:szCs w:val="22"/>
          </w:rPr>
          <w:tab/>
        </w:r>
        <w:r w:rsidRPr="009C602C">
          <w:rPr>
            <w:rStyle w:val="Hyperlink"/>
          </w:rPr>
          <w:t>Nature of Action and Relief Sought</w:t>
        </w:r>
        <w:r>
          <w:rPr>
            <w:webHidden/>
          </w:rPr>
          <w:tab/>
        </w:r>
        <w:r>
          <w:rPr>
            <w:webHidden/>
          </w:rPr>
          <w:fldChar w:fldCharType="begin"/>
        </w:r>
        <w:r>
          <w:rPr>
            <w:webHidden/>
          </w:rPr>
          <w:instrText xml:space="preserve"> PAGEREF _Toc78292813 \h </w:instrText>
        </w:r>
        <w:r>
          <w:rPr>
            <w:webHidden/>
          </w:rPr>
        </w:r>
        <w:r>
          <w:rPr>
            <w:webHidden/>
          </w:rPr>
          <w:fldChar w:fldCharType="separate"/>
        </w:r>
        <w:r>
          <w:rPr>
            <w:webHidden/>
          </w:rPr>
          <w:t>1</w:t>
        </w:r>
        <w:r>
          <w:rPr>
            <w:webHidden/>
          </w:rPr>
          <w:fldChar w:fldCharType="end"/>
        </w:r>
      </w:hyperlink>
    </w:p>
    <w:p w14:paraId="7713F08E" w14:textId="7C0794D4" w:rsidR="00293B5B" w:rsidRDefault="00293B5B">
      <w:pPr>
        <w:pStyle w:val="TOC2"/>
        <w:tabs>
          <w:tab w:val="left" w:pos="1440"/>
        </w:tabs>
        <w:rPr>
          <w:rFonts w:asciiTheme="minorHAnsi" w:eastAsiaTheme="minorEastAsia" w:hAnsiTheme="minorHAnsi" w:cstheme="minorBidi"/>
          <w:sz w:val="22"/>
          <w:szCs w:val="22"/>
        </w:rPr>
      </w:pPr>
      <w:hyperlink w:anchor="_Toc78292814" w:history="1">
        <w:r w:rsidRPr="009C602C">
          <w:rPr>
            <w:rStyle w:val="Hyperlink"/>
          </w:rPr>
          <w:t>B.</w:t>
        </w:r>
        <w:r>
          <w:rPr>
            <w:rFonts w:asciiTheme="minorHAnsi" w:eastAsiaTheme="minorEastAsia" w:hAnsiTheme="minorHAnsi" w:cstheme="minorBidi"/>
            <w:sz w:val="22"/>
            <w:szCs w:val="22"/>
          </w:rPr>
          <w:tab/>
        </w:r>
        <w:r w:rsidRPr="009C602C">
          <w:rPr>
            <w:rStyle w:val="Hyperlink"/>
          </w:rPr>
          <w:t>Nature of the Final Opinion and Order</w:t>
        </w:r>
        <w:r>
          <w:rPr>
            <w:webHidden/>
          </w:rPr>
          <w:tab/>
        </w:r>
        <w:r>
          <w:rPr>
            <w:webHidden/>
          </w:rPr>
          <w:fldChar w:fldCharType="begin"/>
        </w:r>
        <w:r>
          <w:rPr>
            <w:webHidden/>
          </w:rPr>
          <w:instrText xml:space="preserve"> PAGEREF _Toc78292814 \h </w:instrText>
        </w:r>
        <w:r>
          <w:rPr>
            <w:webHidden/>
          </w:rPr>
        </w:r>
        <w:r>
          <w:rPr>
            <w:webHidden/>
          </w:rPr>
          <w:fldChar w:fldCharType="separate"/>
        </w:r>
        <w:r>
          <w:rPr>
            <w:webHidden/>
          </w:rPr>
          <w:t>1</w:t>
        </w:r>
        <w:r>
          <w:rPr>
            <w:webHidden/>
          </w:rPr>
          <w:fldChar w:fldCharType="end"/>
        </w:r>
      </w:hyperlink>
    </w:p>
    <w:p w14:paraId="53007218" w14:textId="70FAD74E" w:rsidR="00293B5B" w:rsidRDefault="00293B5B">
      <w:pPr>
        <w:pStyle w:val="TOC2"/>
        <w:tabs>
          <w:tab w:val="left" w:pos="1440"/>
        </w:tabs>
        <w:rPr>
          <w:rFonts w:asciiTheme="minorHAnsi" w:eastAsiaTheme="minorEastAsia" w:hAnsiTheme="minorHAnsi" w:cstheme="minorBidi"/>
          <w:sz w:val="22"/>
          <w:szCs w:val="22"/>
        </w:rPr>
      </w:pPr>
      <w:hyperlink w:anchor="_Toc78292815" w:history="1">
        <w:r w:rsidRPr="009C602C">
          <w:rPr>
            <w:rStyle w:val="Hyperlink"/>
          </w:rPr>
          <w:t>C.</w:t>
        </w:r>
        <w:r>
          <w:rPr>
            <w:rFonts w:asciiTheme="minorHAnsi" w:eastAsiaTheme="minorEastAsia" w:hAnsiTheme="minorHAnsi" w:cstheme="minorBidi"/>
            <w:sz w:val="22"/>
            <w:szCs w:val="22"/>
          </w:rPr>
          <w:tab/>
        </w:r>
        <w:r w:rsidRPr="009C602C">
          <w:rPr>
            <w:rStyle w:val="Hyperlink"/>
          </w:rPr>
          <w:t>Basis of Appellate Jurisdiction</w:t>
        </w:r>
        <w:r>
          <w:rPr>
            <w:webHidden/>
          </w:rPr>
          <w:tab/>
        </w:r>
        <w:r>
          <w:rPr>
            <w:webHidden/>
          </w:rPr>
          <w:fldChar w:fldCharType="begin"/>
        </w:r>
        <w:r>
          <w:rPr>
            <w:webHidden/>
          </w:rPr>
          <w:instrText xml:space="preserve"> PAGEREF _Toc78292815 \h </w:instrText>
        </w:r>
        <w:r>
          <w:rPr>
            <w:webHidden/>
          </w:rPr>
        </w:r>
        <w:r>
          <w:rPr>
            <w:webHidden/>
          </w:rPr>
          <w:fldChar w:fldCharType="separate"/>
        </w:r>
        <w:r>
          <w:rPr>
            <w:webHidden/>
          </w:rPr>
          <w:t>1</w:t>
        </w:r>
        <w:r>
          <w:rPr>
            <w:webHidden/>
          </w:rPr>
          <w:fldChar w:fldCharType="end"/>
        </w:r>
      </w:hyperlink>
    </w:p>
    <w:p w14:paraId="5325DBF5" w14:textId="40DECF7E" w:rsidR="00293B5B" w:rsidRDefault="00293B5B">
      <w:pPr>
        <w:pStyle w:val="TOC2"/>
        <w:tabs>
          <w:tab w:val="left" w:pos="1440"/>
        </w:tabs>
        <w:rPr>
          <w:rFonts w:asciiTheme="minorHAnsi" w:eastAsiaTheme="minorEastAsia" w:hAnsiTheme="minorHAnsi" w:cstheme="minorBidi"/>
          <w:sz w:val="22"/>
          <w:szCs w:val="22"/>
        </w:rPr>
      </w:pPr>
      <w:hyperlink w:anchor="_Toc78292816" w:history="1">
        <w:r w:rsidRPr="009C602C">
          <w:rPr>
            <w:rStyle w:val="Hyperlink"/>
          </w:rPr>
          <w:t>D.</w:t>
        </w:r>
        <w:r>
          <w:rPr>
            <w:rFonts w:asciiTheme="minorHAnsi" w:eastAsiaTheme="minorEastAsia" w:hAnsiTheme="minorHAnsi" w:cstheme="minorBidi"/>
            <w:sz w:val="22"/>
            <w:szCs w:val="22"/>
          </w:rPr>
          <w:tab/>
        </w:r>
        <w:r w:rsidRPr="009C602C">
          <w:rPr>
            <w:rStyle w:val="Hyperlink"/>
          </w:rPr>
          <w:t>Timeliness of Appeal</w:t>
        </w:r>
        <w:r>
          <w:rPr>
            <w:webHidden/>
          </w:rPr>
          <w:tab/>
        </w:r>
        <w:r>
          <w:rPr>
            <w:webHidden/>
          </w:rPr>
          <w:fldChar w:fldCharType="begin"/>
        </w:r>
        <w:r>
          <w:rPr>
            <w:webHidden/>
          </w:rPr>
          <w:instrText xml:space="preserve"> PAGEREF _Toc78292816 \h </w:instrText>
        </w:r>
        <w:r>
          <w:rPr>
            <w:webHidden/>
          </w:rPr>
        </w:r>
        <w:r>
          <w:rPr>
            <w:webHidden/>
          </w:rPr>
          <w:fldChar w:fldCharType="separate"/>
        </w:r>
        <w:r>
          <w:rPr>
            <w:webHidden/>
          </w:rPr>
          <w:t>1</w:t>
        </w:r>
        <w:r>
          <w:rPr>
            <w:webHidden/>
          </w:rPr>
          <w:fldChar w:fldCharType="end"/>
        </w:r>
      </w:hyperlink>
    </w:p>
    <w:p w14:paraId="6E742CA7" w14:textId="398F95E3" w:rsidR="00293B5B" w:rsidRDefault="00293B5B">
      <w:pPr>
        <w:pStyle w:val="TOC2"/>
        <w:tabs>
          <w:tab w:val="left" w:pos="1440"/>
        </w:tabs>
        <w:rPr>
          <w:rFonts w:asciiTheme="minorHAnsi" w:eastAsiaTheme="minorEastAsia" w:hAnsiTheme="minorHAnsi" w:cstheme="minorBidi"/>
          <w:sz w:val="22"/>
          <w:szCs w:val="22"/>
        </w:rPr>
      </w:pPr>
      <w:hyperlink w:anchor="_Toc78292817" w:history="1">
        <w:r w:rsidRPr="009C602C">
          <w:rPr>
            <w:rStyle w:val="Hyperlink"/>
          </w:rPr>
          <w:t>E.</w:t>
        </w:r>
        <w:r>
          <w:rPr>
            <w:rFonts w:asciiTheme="minorHAnsi" w:eastAsiaTheme="minorEastAsia" w:hAnsiTheme="minorHAnsi" w:cstheme="minorBidi"/>
            <w:sz w:val="22"/>
            <w:szCs w:val="22"/>
          </w:rPr>
          <w:tab/>
        </w:r>
        <w:r w:rsidRPr="009C602C">
          <w:rPr>
            <w:rStyle w:val="Hyperlink"/>
          </w:rPr>
          <w:t>Questions Presented on Appeal</w:t>
        </w:r>
        <w:r>
          <w:rPr>
            <w:webHidden/>
          </w:rPr>
          <w:tab/>
        </w:r>
        <w:r>
          <w:rPr>
            <w:webHidden/>
          </w:rPr>
          <w:fldChar w:fldCharType="begin"/>
        </w:r>
        <w:r>
          <w:rPr>
            <w:webHidden/>
          </w:rPr>
          <w:instrText xml:space="preserve"> PAGEREF _Toc78292817 \h </w:instrText>
        </w:r>
        <w:r>
          <w:rPr>
            <w:webHidden/>
          </w:rPr>
        </w:r>
        <w:r>
          <w:rPr>
            <w:webHidden/>
          </w:rPr>
          <w:fldChar w:fldCharType="separate"/>
        </w:r>
        <w:r>
          <w:rPr>
            <w:webHidden/>
          </w:rPr>
          <w:t>1</w:t>
        </w:r>
        <w:r>
          <w:rPr>
            <w:webHidden/>
          </w:rPr>
          <w:fldChar w:fldCharType="end"/>
        </w:r>
      </w:hyperlink>
    </w:p>
    <w:p w14:paraId="79E1FD06" w14:textId="5B3F9958" w:rsidR="00293B5B" w:rsidRDefault="00293B5B">
      <w:pPr>
        <w:pStyle w:val="TOC2"/>
        <w:tabs>
          <w:tab w:val="left" w:pos="1440"/>
        </w:tabs>
        <w:rPr>
          <w:rFonts w:asciiTheme="minorHAnsi" w:eastAsiaTheme="minorEastAsia" w:hAnsiTheme="minorHAnsi" w:cstheme="minorBidi"/>
          <w:sz w:val="22"/>
          <w:szCs w:val="22"/>
        </w:rPr>
      </w:pPr>
      <w:hyperlink w:anchor="_Toc78292818" w:history="1">
        <w:r w:rsidRPr="009C602C">
          <w:rPr>
            <w:rStyle w:val="Hyperlink"/>
          </w:rPr>
          <w:t>F.</w:t>
        </w:r>
        <w:r>
          <w:rPr>
            <w:rFonts w:asciiTheme="minorHAnsi" w:eastAsiaTheme="minorEastAsia" w:hAnsiTheme="minorHAnsi" w:cstheme="minorBidi"/>
            <w:sz w:val="22"/>
            <w:szCs w:val="22"/>
          </w:rPr>
          <w:tab/>
        </w:r>
        <w:r w:rsidRPr="009C602C">
          <w:rPr>
            <w:rStyle w:val="Hyperlink"/>
          </w:rPr>
          <w:t>Summary of Argument</w:t>
        </w:r>
        <w:r>
          <w:rPr>
            <w:webHidden/>
          </w:rPr>
          <w:tab/>
        </w:r>
        <w:r>
          <w:rPr>
            <w:webHidden/>
          </w:rPr>
          <w:fldChar w:fldCharType="begin"/>
        </w:r>
        <w:r>
          <w:rPr>
            <w:webHidden/>
          </w:rPr>
          <w:instrText xml:space="preserve"> PAGEREF _Toc78292818 \h </w:instrText>
        </w:r>
        <w:r>
          <w:rPr>
            <w:webHidden/>
          </w:rPr>
        </w:r>
        <w:r>
          <w:rPr>
            <w:webHidden/>
          </w:rPr>
          <w:fldChar w:fldCharType="separate"/>
        </w:r>
        <w:r>
          <w:rPr>
            <w:webHidden/>
          </w:rPr>
          <w:t>2</w:t>
        </w:r>
        <w:r>
          <w:rPr>
            <w:webHidden/>
          </w:rPr>
          <w:fldChar w:fldCharType="end"/>
        </w:r>
      </w:hyperlink>
    </w:p>
    <w:p w14:paraId="6DB4C0D8" w14:textId="28FF2B52" w:rsidR="00293B5B" w:rsidRDefault="00293B5B">
      <w:pPr>
        <w:pStyle w:val="TOC2"/>
        <w:tabs>
          <w:tab w:val="left" w:pos="1440"/>
        </w:tabs>
        <w:rPr>
          <w:rFonts w:asciiTheme="minorHAnsi" w:eastAsiaTheme="minorEastAsia" w:hAnsiTheme="minorHAnsi" w:cstheme="minorBidi"/>
          <w:sz w:val="22"/>
          <w:szCs w:val="22"/>
        </w:rPr>
      </w:pPr>
      <w:hyperlink w:anchor="_Toc78292819" w:history="1">
        <w:r w:rsidRPr="009C602C">
          <w:rPr>
            <w:rStyle w:val="Hyperlink"/>
          </w:rPr>
          <w:t>G.</w:t>
        </w:r>
        <w:r>
          <w:rPr>
            <w:rFonts w:asciiTheme="minorHAnsi" w:eastAsiaTheme="minorEastAsia" w:hAnsiTheme="minorHAnsi" w:cstheme="minorBidi"/>
            <w:sz w:val="22"/>
            <w:szCs w:val="22"/>
          </w:rPr>
          <w:tab/>
        </w:r>
        <w:r w:rsidRPr="009C602C">
          <w:rPr>
            <w:rStyle w:val="Hyperlink"/>
          </w:rPr>
          <w:t>Statement of Facts</w:t>
        </w:r>
        <w:r>
          <w:rPr>
            <w:webHidden/>
          </w:rPr>
          <w:tab/>
        </w:r>
        <w:r>
          <w:rPr>
            <w:webHidden/>
          </w:rPr>
          <w:fldChar w:fldCharType="begin"/>
        </w:r>
        <w:r>
          <w:rPr>
            <w:webHidden/>
          </w:rPr>
          <w:instrText xml:space="preserve"> PAGEREF _Toc78292819 \h </w:instrText>
        </w:r>
        <w:r>
          <w:rPr>
            <w:webHidden/>
          </w:rPr>
        </w:r>
        <w:r>
          <w:rPr>
            <w:webHidden/>
          </w:rPr>
          <w:fldChar w:fldCharType="separate"/>
        </w:r>
        <w:r>
          <w:rPr>
            <w:webHidden/>
          </w:rPr>
          <w:t>4</w:t>
        </w:r>
        <w:r>
          <w:rPr>
            <w:webHidden/>
          </w:rPr>
          <w:fldChar w:fldCharType="end"/>
        </w:r>
      </w:hyperlink>
    </w:p>
    <w:p w14:paraId="4A570D70" w14:textId="1E438FB9" w:rsidR="00293B5B" w:rsidRDefault="00293B5B">
      <w:pPr>
        <w:pStyle w:val="TOC1"/>
        <w:rPr>
          <w:rFonts w:asciiTheme="minorHAnsi" w:eastAsiaTheme="minorEastAsia" w:hAnsiTheme="minorHAnsi" w:cstheme="minorBidi"/>
          <w:caps w:val="0"/>
          <w:sz w:val="22"/>
          <w:szCs w:val="22"/>
        </w:rPr>
      </w:pPr>
      <w:hyperlink w:anchor="_Toc78292820" w:history="1">
        <w:r w:rsidRPr="009C602C">
          <w:rPr>
            <w:rStyle w:val="Hyperlink"/>
          </w:rPr>
          <w:t>II.</w:t>
        </w:r>
        <w:r>
          <w:rPr>
            <w:rFonts w:asciiTheme="minorHAnsi" w:eastAsiaTheme="minorEastAsia" w:hAnsiTheme="minorHAnsi" w:cstheme="minorBidi"/>
            <w:caps w:val="0"/>
            <w:sz w:val="22"/>
            <w:szCs w:val="22"/>
          </w:rPr>
          <w:tab/>
        </w:r>
        <w:r w:rsidRPr="009C602C">
          <w:rPr>
            <w:rStyle w:val="Hyperlink"/>
          </w:rPr>
          <w:t>ARGUMENT</w:t>
        </w:r>
        <w:r>
          <w:rPr>
            <w:webHidden/>
          </w:rPr>
          <w:tab/>
        </w:r>
        <w:r>
          <w:rPr>
            <w:webHidden/>
          </w:rPr>
          <w:fldChar w:fldCharType="begin"/>
        </w:r>
        <w:r>
          <w:rPr>
            <w:webHidden/>
          </w:rPr>
          <w:instrText xml:space="preserve"> PAGEREF _Toc78292820 \h </w:instrText>
        </w:r>
        <w:r>
          <w:rPr>
            <w:webHidden/>
          </w:rPr>
        </w:r>
        <w:r>
          <w:rPr>
            <w:webHidden/>
          </w:rPr>
          <w:fldChar w:fldCharType="separate"/>
        </w:r>
        <w:r>
          <w:rPr>
            <w:webHidden/>
          </w:rPr>
          <w:t>4</w:t>
        </w:r>
        <w:r>
          <w:rPr>
            <w:webHidden/>
          </w:rPr>
          <w:fldChar w:fldCharType="end"/>
        </w:r>
      </w:hyperlink>
    </w:p>
    <w:p w14:paraId="08AB5BFB" w14:textId="5277BAE1" w:rsidR="00293B5B" w:rsidRDefault="00293B5B">
      <w:pPr>
        <w:pStyle w:val="TOC2"/>
        <w:tabs>
          <w:tab w:val="left" w:pos="1440"/>
        </w:tabs>
        <w:rPr>
          <w:rFonts w:asciiTheme="minorHAnsi" w:eastAsiaTheme="minorEastAsia" w:hAnsiTheme="minorHAnsi" w:cstheme="minorBidi"/>
          <w:sz w:val="22"/>
          <w:szCs w:val="22"/>
        </w:rPr>
      </w:pPr>
      <w:hyperlink w:anchor="_Toc78292821" w:history="1">
        <w:r w:rsidRPr="009C602C">
          <w:rPr>
            <w:rStyle w:val="Hyperlink"/>
          </w:rPr>
          <w:t>A.</w:t>
        </w:r>
        <w:r>
          <w:rPr>
            <w:rFonts w:asciiTheme="minorHAnsi" w:eastAsiaTheme="minorEastAsia" w:hAnsiTheme="minorHAnsi" w:cstheme="minorBidi"/>
            <w:sz w:val="22"/>
            <w:szCs w:val="22"/>
          </w:rPr>
          <w:tab/>
        </w:r>
        <w:r w:rsidRPr="009C602C">
          <w:rPr>
            <w:rStyle w:val="Hyperlink"/>
          </w:rPr>
          <w:t>Oregon Counties Have a Central Role in Oregon’s Coordinated Statewide Land Use Planning System.</w:t>
        </w:r>
        <w:r>
          <w:rPr>
            <w:webHidden/>
          </w:rPr>
          <w:tab/>
        </w:r>
        <w:r>
          <w:rPr>
            <w:webHidden/>
          </w:rPr>
          <w:fldChar w:fldCharType="begin"/>
        </w:r>
        <w:r>
          <w:rPr>
            <w:webHidden/>
          </w:rPr>
          <w:instrText xml:space="preserve"> PAGEREF _Toc78292821 \h </w:instrText>
        </w:r>
        <w:r>
          <w:rPr>
            <w:webHidden/>
          </w:rPr>
        </w:r>
        <w:r>
          <w:rPr>
            <w:webHidden/>
          </w:rPr>
          <w:fldChar w:fldCharType="separate"/>
        </w:r>
        <w:r>
          <w:rPr>
            <w:webHidden/>
          </w:rPr>
          <w:t>4</w:t>
        </w:r>
        <w:r>
          <w:rPr>
            <w:webHidden/>
          </w:rPr>
          <w:fldChar w:fldCharType="end"/>
        </w:r>
      </w:hyperlink>
    </w:p>
    <w:p w14:paraId="30F45AF1" w14:textId="4A40CA1C" w:rsidR="00293B5B" w:rsidRDefault="00293B5B">
      <w:pPr>
        <w:pStyle w:val="TOC2"/>
        <w:tabs>
          <w:tab w:val="left" w:pos="1440"/>
        </w:tabs>
        <w:rPr>
          <w:rFonts w:asciiTheme="minorHAnsi" w:eastAsiaTheme="minorEastAsia" w:hAnsiTheme="minorHAnsi" w:cstheme="minorBidi"/>
          <w:sz w:val="22"/>
          <w:szCs w:val="22"/>
        </w:rPr>
      </w:pPr>
      <w:hyperlink w:anchor="_Toc78292822" w:history="1">
        <w:r w:rsidRPr="009C602C">
          <w:rPr>
            <w:rStyle w:val="Hyperlink"/>
          </w:rPr>
          <w:t>B.</w:t>
        </w:r>
        <w:r>
          <w:rPr>
            <w:rFonts w:asciiTheme="minorHAnsi" w:eastAsiaTheme="minorEastAsia" w:hAnsiTheme="minorHAnsi" w:cstheme="minorBidi"/>
            <w:sz w:val="22"/>
            <w:szCs w:val="22"/>
          </w:rPr>
          <w:tab/>
        </w:r>
        <w:r w:rsidRPr="009C602C">
          <w:rPr>
            <w:rStyle w:val="Hyperlink"/>
          </w:rPr>
          <w:t>Counties Have Exercised Discretionary Approval Authority Over Certain Energy Facilities For Decades.</w:t>
        </w:r>
        <w:r>
          <w:rPr>
            <w:webHidden/>
          </w:rPr>
          <w:tab/>
        </w:r>
        <w:r>
          <w:rPr>
            <w:webHidden/>
          </w:rPr>
          <w:fldChar w:fldCharType="begin"/>
        </w:r>
        <w:r>
          <w:rPr>
            <w:webHidden/>
          </w:rPr>
          <w:instrText xml:space="preserve"> PAGEREF _Toc78292822 \h </w:instrText>
        </w:r>
        <w:r>
          <w:rPr>
            <w:webHidden/>
          </w:rPr>
        </w:r>
        <w:r>
          <w:rPr>
            <w:webHidden/>
          </w:rPr>
          <w:fldChar w:fldCharType="separate"/>
        </w:r>
        <w:r>
          <w:rPr>
            <w:webHidden/>
          </w:rPr>
          <w:t>7</w:t>
        </w:r>
        <w:r>
          <w:rPr>
            <w:webHidden/>
          </w:rPr>
          <w:fldChar w:fldCharType="end"/>
        </w:r>
      </w:hyperlink>
    </w:p>
    <w:p w14:paraId="29519037" w14:textId="62532B44" w:rsidR="00293B5B" w:rsidRDefault="00293B5B">
      <w:pPr>
        <w:pStyle w:val="TOC2"/>
        <w:tabs>
          <w:tab w:val="left" w:pos="1440"/>
        </w:tabs>
        <w:rPr>
          <w:rFonts w:asciiTheme="minorHAnsi" w:eastAsiaTheme="minorEastAsia" w:hAnsiTheme="minorHAnsi" w:cstheme="minorBidi"/>
          <w:sz w:val="22"/>
          <w:szCs w:val="22"/>
        </w:rPr>
      </w:pPr>
      <w:hyperlink w:anchor="_Toc78292823" w:history="1">
        <w:r w:rsidRPr="009C602C">
          <w:rPr>
            <w:rStyle w:val="Hyperlink"/>
          </w:rPr>
          <w:t>C.</w:t>
        </w:r>
        <w:r>
          <w:rPr>
            <w:rFonts w:asciiTheme="minorHAnsi" w:eastAsiaTheme="minorEastAsia" w:hAnsiTheme="minorHAnsi" w:cstheme="minorBidi"/>
            <w:sz w:val="22"/>
            <w:szCs w:val="22"/>
          </w:rPr>
          <w:tab/>
        </w:r>
        <w:r w:rsidRPr="009C602C">
          <w:rPr>
            <w:rStyle w:val="Hyperlink"/>
          </w:rPr>
          <w:t>The EFSC Approval Process Grew To Be Ill-Suited For Mid-Sized Renewable Energy Facilities.</w:t>
        </w:r>
        <w:r>
          <w:rPr>
            <w:webHidden/>
          </w:rPr>
          <w:tab/>
        </w:r>
        <w:r>
          <w:rPr>
            <w:webHidden/>
          </w:rPr>
          <w:fldChar w:fldCharType="begin"/>
        </w:r>
        <w:r>
          <w:rPr>
            <w:webHidden/>
          </w:rPr>
          <w:instrText xml:space="preserve"> PAGEREF _Toc78292823 \h </w:instrText>
        </w:r>
        <w:r>
          <w:rPr>
            <w:webHidden/>
          </w:rPr>
        </w:r>
        <w:r>
          <w:rPr>
            <w:webHidden/>
          </w:rPr>
          <w:fldChar w:fldCharType="separate"/>
        </w:r>
        <w:r>
          <w:rPr>
            <w:webHidden/>
          </w:rPr>
          <w:t>9</w:t>
        </w:r>
        <w:r>
          <w:rPr>
            <w:webHidden/>
          </w:rPr>
          <w:fldChar w:fldCharType="end"/>
        </w:r>
      </w:hyperlink>
    </w:p>
    <w:p w14:paraId="39165E74" w14:textId="6B094EAA" w:rsidR="00293B5B" w:rsidRDefault="00293B5B">
      <w:pPr>
        <w:pStyle w:val="TOC2"/>
        <w:tabs>
          <w:tab w:val="left" w:pos="1440"/>
        </w:tabs>
        <w:rPr>
          <w:rFonts w:asciiTheme="minorHAnsi" w:eastAsiaTheme="minorEastAsia" w:hAnsiTheme="minorHAnsi" w:cstheme="minorBidi"/>
          <w:sz w:val="22"/>
          <w:szCs w:val="22"/>
        </w:rPr>
      </w:pPr>
      <w:hyperlink w:anchor="_Toc78292824" w:history="1">
        <w:r w:rsidRPr="009C602C">
          <w:rPr>
            <w:rStyle w:val="Hyperlink"/>
          </w:rPr>
          <w:t>D.</w:t>
        </w:r>
        <w:r>
          <w:rPr>
            <w:rFonts w:asciiTheme="minorHAnsi" w:eastAsiaTheme="minorEastAsia" w:hAnsiTheme="minorHAnsi" w:cstheme="minorBidi"/>
            <w:sz w:val="22"/>
            <w:szCs w:val="22"/>
          </w:rPr>
          <w:tab/>
        </w:r>
        <w:r w:rsidRPr="009C602C">
          <w:rPr>
            <w:rStyle w:val="Hyperlink"/>
          </w:rPr>
          <w:t>The Legislature Intended HB 2329 to Streamline the Approval Process For Mid-Sized Renewable Energy Facilities By Transferring the Approval Authority From EFSC to Counties.</w:t>
        </w:r>
        <w:r>
          <w:rPr>
            <w:webHidden/>
          </w:rPr>
          <w:tab/>
        </w:r>
        <w:r>
          <w:rPr>
            <w:webHidden/>
          </w:rPr>
          <w:fldChar w:fldCharType="begin"/>
        </w:r>
        <w:r>
          <w:rPr>
            <w:webHidden/>
          </w:rPr>
          <w:instrText xml:space="preserve"> PAGEREF _Toc78292824 \h </w:instrText>
        </w:r>
        <w:r>
          <w:rPr>
            <w:webHidden/>
          </w:rPr>
        </w:r>
        <w:r>
          <w:rPr>
            <w:webHidden/>
          </w:rPr>
          <w:fldChar w:fldCharType="separate"/>
        </w:r>
        <w:r>
          <w:rPr>
            <w:webHidden/>
          </w:rPr>
          <w:t>13</w:t>
        </w:r>
        <w:r>
          <w:rPr>
            <w:webHidden/>
          </w:rPr>
          <w:fldChar w:fldCharType="end"/>
        </w:r>
      </w:hyperlink>
    </w:p>
    <w:p w14:paraId="2A326521" w14:textId="170F266D" w:rsidR="00293B5B" w:rsidRDefault="00293B5B">
      <w:pPr>
        <w:pStyle w:val="TOC2"/>
        <w:tabs>
          <w:tab w:val="left" w:pos="1440"/>
        </w:tabs>
        <w:rPr>
          <w:rFonts w:asciiTheme="minorHAnsi" w:eastAsiaTheme="minorEastAsia" w:hAnsiTheme="minorHAnsi" w:cstheme="minorBidi"/>
          <w:sz w:val="22"/>
          <w:szCs w:val="22"/>
        </w:rPr>
      </w:pPr>
      <w:hyperlink w:anchor="_Toc78292825" w:history="1">
        <w:r w:rsidRPr="009C602C">
          <w:rPr>
            <w:rStyle w:val="Hyperlink"/>
          </w:rPr>
          <w:t>E.</w:t>
        </w:r>
        <w:r>
          <w:rPr>
            <w:rFonts w:asciiTheme="minorHAnsi" w:eastAsiaTheme="minorEastAsia" w:hAnsiTheme="minorHAnsi" w:cstheme="minorBidi"/>
            <w:sz w:val="22"/>
            <w:szCs w:val="22"/>
          </w:rPr>
          <w:tab/>
        </w:r>
        <w:r w:rsidRPr="009C602C">
          <w:rPr>
            <w:rStyle w:val="Hyperlink"/>
          </w:rPr>
          <w:t>The Board’s Interpretation Misunderstands and Frustrates Important Legislative Policy Choices Underpinning HB 2329.</w:t>
        </w:r>
        <w:r>
          <w:rPr>
            <w:webHidden/>
          </w:rPr>
          <w:tab/>
        </w:r>
        <w:r>
          <w:rPr>
            <w:webHidden/>
          </w:rPr>
          <w:fldChar w:fldCharType="begin"/>
        </w:r>
        <w:r>
          <w:rPr>
            <w:webHidden/>
          </w:rPr>
          <w:instrText xml:space="preserve"> PAGEREF _Toc78292825 \h </w:instrText>
        </w:r>
        <w:r>
          <w:rPr>
            <w:webHidden/>
          </w:rPr>
        </w:r>
        <w:r>
          <w:rPr>
            <w:webHidden/>
          </w:rPr>
          <w:fldChar w:fldCharType="separate"/>
        </w:r>
        <w:r>
          <w:rPr>
            <w:webHidden/>
          </w:rPr>
          <w:t>17</w:t>
        </w:r>
        <w:r>
          <w:rPr>
            <w:webHidden/>
          </w:rPr>
          <w:fldChar w:fldCharType="end"/>
        </w:r>
      </w:hyperlink>
    </w:p>
    <w:p w14:paraId="6A5E666C" w14:textId="6C15188A" w:rsidR="00293B5B" w:rsidRDefault="00293B5B">
      <w:pPr>
        <w:pStyle w:val="TOC1"/>
        <w:rPr>
          <w:rFonts w:asciiTheme="minorHAnsi" w:eastAsiaTheme="minorEastAsia" w:hAnsiTheme="minorHAnsi" w:cstheme="minorBidi"/>
          <w:caps w:val="0"/>
          <w:sz w:val="22"/>
          <w:szCs w:val="22"/>
        </w:rPr>
      </w:pPr>
      <w:hyperlink w:anchor="_Toc78292826" w:history="1">
        <w:r w:rsidRPr="009C602C">
          <w:rPr>
            <w:rStyle w:val="Hyperlink"/>
          </w:rPr>
          <w:t>III.</w:t>
        </w:r>
        <w:r>
          <w:rPr>
            <w:rFonts w:asciiTheme="minorHAnsi" w:eastAsiaTheme="minorEastAsia" w:hAnsiTheme="minorHAnsi" w:cstheme="minorBidi"/>
            <w:caps w:val="0"/>
            <w:sz w:val="22"/>
            <w:szCs w:val="22"/>
          </w:rPr>
          <w:tab/>
        </w:r>
        <w:r w:rsidRPr="009C602C">
          <w:rPr>
            <w:rStyle w:val="Hyperlink"/>
          </w:rPr>
          <w:t>CONCLUSION</w:t>
        </w:r>
        <w:r>
          <w:rPr>
            <w:webHidden/>
          </w:rPr>
          <w:tab/>
        </w:r>
        <w:r>
          <w:rPr>
            <w:webHidden/>
          </w:rPr>
          <w:fldChar w:fldCharType="begin"/>
        </w:r>
        <w:r>
          <w:rPr>
            <w:webHidden/>
          </w:rPr>
          <w:instrText xml:space="preserve"> PAGEREF _Toc78292826 \h </w:instrText>
        </w:r>
        <w:r>
          <w:rPr>
            <w:webHidden/>
          </w:rPr>
        </w:r>
        <w:r>
          <w:rPr>
            <w:webHidden/>
          </w:rPr>
          <w:fldChar w:fldCharType="separate"/>
        </w:r>
        <w:r>
          <w:rPr>
            <w:webHidden/>
          </w:rPr>
          <w:t>24</w:t>
        </w:r>
        <w:r>
          <w:rPr>
            <w:webHidden/>
          </w:rPr>
          <w:fldChar w:fldCharType="end"/>
        </w:r>
      </w:hyperlink>
    </w:p>
    <w:p w14:paraId="041FAE12" w14:textId="11ADDF3E" w:rsidR="00D22889" w:rsidRDefault="008E5BD8" w:rsidP="00AD6402">
      <w:pPr>
        <w:jc w:val="center"/>
        <w:rPr>
          <w:bCs/>
          <w:noProof/>
        </w:rPr>
        <w:sectPr w:rsidR="00D22889" w:rsidSect="00273ED1">
          <w:headerReference w:type="default" r:id="rId9"/>
          <w:footerReference w:type="default" r:id="rId10"/>
          <w:pgSz w:w="12240" w:h="15840" w:code="1"/>
          <w:pgMar w:top="1080" w:right="1440" w:bottom="1080" w:left="1800" w:header="547" w:footer="720" w:gutter="0"/>
          <w:pgNumType w:fmt="lowerRoman" w:start="1"/>
          <w:cols w:space="720"/>
          <w:docGrid w:linePitch="360"/>
        </w:sectPr>
      </w:pPr>
      <w:r>
        <w:rPr>
          <w:bCs/>
          <w:noProof/>
        </w:rPr>
        <w:fldChar w:fldCharType="end"/>
      </w:r>
    </w:p>
    <w:p w14:paraId="4B46AB67" w14:textId="3FDFB496" w:rsidR="00AD6402" w:rsidRPr="00142501" w:rsidRDefault="00AD6402" w:rsidP="00AD6402">
      <w:pPr>
        <w:jc w:val="center"/>
        <w:rPr>
          <w:b/>
          <w:sz w:val="28"/>
          <w:szCs w:val="28"/>
        </w:rPr>
      </w:pPr>
      <w:r w:rsidRPr="00142501">
        <w:rPr>
          <w:b/>
          <w:sz w:val="28"/>
          <w:szCs w:val="28"/>
        </w:rPr>
        <w:lastRenderedPageBreak/>
        <w:t xml:space="preserve">INDEX </w:t>
      </w:r>
      <w:r>
        <w:rPr>
          <w:b/>
          <w:sz w:val="28"/>
          <w:szCs w:val="28"/>
        </w:rPr>
        <w:t>TO APPENDICES</w:t>
      </w:r>
    </w:p>
    <w:p w14:paraId="1BAFB338" w14:textId="77777777" w:rsidR="00744CE7" w:rsidRDefault="00744CE7" w:rsidP="00AD6402">
      <w:pPr>
        <w:pStyle w:val="CenterHeading"/>
        <w:tabs>
          <w:tab w:val="left" w:leader="dot" w:pos="8190"/>
        </w:tabs>
        <w:jc w:val="left"/>
        <w:rPr>
          <w:b w:val="0"/>
          <w:bCs w:val="0"/>
          <w:sz w:val="28"/>
          <w:szCs w:val="28"/>
        </w:rPr>
      </w:pPr>
    </w:p>
    <w:p w14:paraId="19D76D94" w14:textId="776A71D8" w:rsidR="00982AE2" w:rsidRDefault="00744CE7" w:rsidP="0025559C">
      <w:pPr>
        <w:pStyle w:val="CenterHeading"/>
        <w:tabs>
          <w:tab w:val="left" w:pos="540"/>
          <w:tab w:val="left" w:leader="dot" w:pos="8190"/>
        </w:tabs>
        <w:spacing w:after="0"/>
        <w:ind w:left="540" w:hanging="540"/>
        <w:jc w:val="left"/>
        <w:rPr>
          <w:b w:val="0"/>
          <w:bCs w:val="0"/>
          <w:sz w:val="28"/>
          <w:szCs w:val="28"/>
        </w:rPr>
      </w:pPr>
      <w:r>
        <w:rPr>
          <w:b w:val="0"/>
          <w:bCs w:val="0"/>
          <w:sz w:val="28"/>
          <w:szCs w:val="28"/>
        </w:rPr>
        <w:t>Oregon Legislative Information System</w:t>
      </w:r>
      <w:r w:rsidR="003A65CB">
        <w:rPr>
          <w:b w:val="0"/>
          <w:bCs w:val="0"/>
          <w:sz w:val="28"/>
          <w:szCs w:val="28"/>
        </w:rPr>
        <w:t>,</w:t>
      </w:r>
    </w:p>
    <w:p w14:paraId="0641575F" w14:textId="67F6C98D" w:rsidR="00AD6402" w:rsidRDefault="00FB1FE3" w:rsidP="0025559C">
      <w:pPr>
        <w:pStyle w:val="CenterHeading"/>
        <w:tabs>
          <w:tab w:val="left" w:pos="540"/>
          <w:tab w:val="left" w:leader="dot" w:pos="8190"/>
        </w:tabs>
        <w:spacing w:before="0"/>
        <w:ind w:left="540" w:hanging="540"/>
        <w:jc w:val="left"/>
        <w:rPr>
          <w:rStyle w:val="Bold"/>
          <w:szCs w:val="28"/>
        </w:rPr>
      </w:pPr>
      <w:r>
        <w:rPr>
          <w:b w:val="0"/>
          <w:bCs w:val="0"/>
          <w:sz w:val="28"/>
          <w:szCs w:val="28"/>
        </w:rPr>
        <w:tab/>
        <w:t>Sess</w:t>
      </w:r>
      <w:r w:rsidR="00AA1805">
        <w:rPr>
          <w:b w:val="0"/>
          <w:bCs w:val="0"/>
          <w:sz w:val="28"/>
          <w:szCs w:val="28"/>
        </w:rPr>
        <w:t>i</w:t>
      </w:r>
      <w:r>
        <w:rPr>
          <w:b w:val="0"/>
          <w:bCs w:val="0"/>
          <w:sz w:val="28"/>
          <w:szCs w:val="28"/>
        </w:rPr>
        <w:t xml:space="preserve">on Summary </w:t>
      </w:r>
      <w:proofErr w:type="spellStart"/>
      <w:r>
        <w:rPr>
          <w:b w:val="0"/>
          <w:bCs w:val="0"/>
          <w:sz w:val="28"/>
          <w:szCs w:val="28"/>
        </w:rPr>
        <w:t>HB</w:t>
      </w:r>
      <w:proofErr w:type="spellEnd"/>
      <w:r>
        <w:rPr>
          <w:b w:val="0"/>
          <w:bCs w:val="0"/>
          <w:sz w:val="28"/>
          <w:szCs w:val="28"/>
        </w:rPr>
        <w:t xml:space="preserve"> 2329 2019</w:t>
      </w:r>
      <w:r w:rsidR="0006608F">
        <w:rPr>
          <w:rStyle w:val="Bold"/>
          <w:szCs w:val="28"/>
        </w:rPr>
        <w:tab/>
      </w:r>
      <w:r w:rsidR="00A8079C">
        <w:rPr>
          <w:rStyle w:val="Bold"/>
          <w:szCs w:val="28"/>
        </w:rPr>
        <w:t>App</w:t>
      </w:r>
      <w:r w:rsidR="00AD6402" w:rsidRPr="00A8079C">
        <w:rPr>
          <w:rStyle w:val="Bold"/>
          <w:szCs w:val="28"/>
        </w:rPr>
        <w:t>-1</w:t>
      </w:r>
    </w:p>
    <w:p w14:paraId="47BFCED3" w14:textId="44829F1E" w:rsidR="00FB1FE3" w:rsidRDefault="003A65CB" w:rsidP="003A65CB">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Testimony, House Committee on Energy and Environment,</w:t>
      </w:r>
    </w:p>
    <w:p w14:paraId="1BC6F8B6" w14:textId="497FD28D" w:rsidR="0025559C" w:rsidRDefault="003A65CB" w:rsidP="0025559C">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ab/>
      </w:r>
      <w:proofErr w:type="spellStart"/>
      <w:r w:rsidR="00C158FD">
        <w:rPr>
          <w:rStyle w:val="Bold"/>
          <w:bCs w:val="0"/>
          <w:sz w:val="28"/>
          <w:szCs w:val="28"/>
        </w:rPr>
        <w:t>HB</w:t>
      </w:r>
      <w:proofErr w:type="spellEnd"/>
      <w:r w:rsidR="00C158FD">
        <w:rPr>
          <w:rStyle w:val="Bold"/>
          <w:bCs w:val="0"/>
          <w:sz w:val="28"/>
          <w:szCs w:val="28"/>
        </w:rPr>
        <w:t xml:space="preserve"> 2329, Feb 28</w:t>
      </w:r>
      <w:r w:rsidR="0025559C">
        <w:rPr>
          <w:rStyle w:val="Bold"/>
          <w:bCs w:val="0"/>
          <w:sz w:val="28"/>
          <w:szCs w:val="28"/>
        </w:rPr>
        <w:t xml:space="preserve">, 2019, </w:t>
      </w:r>
      <w:r w:rsidR="00C158FD">
        <w:rPr>
          <w:rStyle w:val="Bold"/>
          <w:bCs w:val="0"/>
          <w:sz w:val="28"/>
          <w:szCs w:val="28"/>
        </w:rPr>
        <w:t xml:space="preserve">Meeting, </w:t>
      </w:r>
      <w:r w:rsidR="0025559C">
        <w:rPr>
          <w:rStyle w:val="Bold"/>
          <w:bCs w:val="0"/>
          <w:sz w:val="28"/>
          <w:szCs w:val="28"/>
        </w:rPr>
        <w:t>E</w:t>
      </w:r>
      <w:r w:rsidR="00C158FD">
        <w:rPr>
          <w:rStyle w:val="Bold"/>
          <w:bCs w:val="0"/>
          <w:sz w:val="28"/>
          <w:szCs w:val="28"/>
        </w:rPr>
        <w:t>x 46</w:t>
      </w:r>
      <w:r w:rsidR="0025559C">
        <w:rPr>
          <w:rStyle w:val="Bold"/>
          <w:bCs w:val="0"/>
          <w:sz w:val="28"/>
          <w:szCs w:val="28"/>
        </w:rPr>
        <w:t xml:space="preserve">, Letter </w:t>
      </w:r>
      <w:r w:rsidR="00E73985">
        <w:rPr>
          <w:rStyle w:val="Bold"/>
          <w:bCs w:val="0"/>
          <w:sz w:val="28"/>
          <w:szCs w:val="28"/>
        </w:rPr>
        <w:t xml:space="preserve">Testimony </w:t>
      </w:r>
      <w:r w:rsidR="0025559C">
        <w:rPr>
          <w:rStyle w:val="Bold"/>
          <w:bCs w:val="0"/>
          <w:sz w:val="28"/>
          <w:szCs w:val="28"/>
        </w:rPr>
        <w:t xml:space="preserve">of </w:t>
      </w:r>
    </w:p>
    <w:p w14:paraId="621F24CD" w14:textId="65504ABD" w:rsidR="003A65CB" w:rsidRDefault="0025559C" w:rsidP="0025559C">
      <w:pPr>
        <w:pStyle w:val="CenterHeading"/>
        <w:tabs>
          <w:tab w:val="left" w:pos="540"/>
          <w:tab w:val="left" w:leader="dot" w:pos="8190"/>
        </w:tabs>
        <w:spacing w:before="0"/>
        <w:ind w:left="540" w:hanging="540"/>
        <w:jc w:val="left"/>
        <w:rPr>
          <w:rStyle w:val="Bold"/>
          <w:bCs w:val="0"/>
          <w:sz w:val="28"/>
          <w:szCs w:val="28"/>
        </w:rPr>
      </w:pPr>
      <w:r>
        <w:rPr>
          <w:rStyle w:val="Bold"/>
          <w:bCs w:val="0"/>
          <w:sz w:val="28"/>
          <w:szCs w:val="28"/>
        </w:rPr>
        <w:tab/>
      </w:r>
      <w:r w:rsidR="00C158FD">
        <w:rPr>
          <w:rStyle w:val="Bold"/>
          <w:bCs w:val="0"/>
          <w:sz w:val="28"/>
          <w:szCs w:val="28"/>
        </w:rPr>
        <w:t>Daniel</w:t>
      </w:r>
      <w:r w:rsidR="00A447CF">
        <w:rPr>
          <w:rStyle w:val="Bold"/>
          <w:bCs w:val="0"/>
          <w:sz w:val="28"/>
          <w:szCs w:val="28"/>
        </w:rPr>
        <w:t xml:space="preserve"> Brown, </w:t>
      </w:r>
      <w:r>
        <w:rPr>
          <w:rStyle w:val="Bold"/>
          <w:bCs w:val="0"/>
          <w:sz w:val="28"/>
          <w:szCs w:val="28"/>
        </w:rPr>
        <w:t>Obsidian Renewables, LLC</w:t>
      </w:r>
      <w:r w:rsidR="00E12088">
        <w:rPr>
          <w:rStyle w:val="Bold"/>
          <w:bCs w:val="0"/>
          <w:sz w:val="28"/>
          <w:szCs w:val="28"/>
        </w:rPr>
        <w:tab/>
        <w:t>App-6</w:t>
      </w:r>
    </w:p>
    <w:p w14:paraId="6A1793BA" w14:textId="77777777" w:rsidR="0006608F" w:rsidRDefault="0006608F" w:rsidP="0006608F">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Testimony, House Committee on Energy and Environment,</w:t>
      </w:r>
    </w:p>
    <w:p w14:paraId="3937C966" w14:textId="1176CA58" w:rsidR="00FB185D" w:rsidRDefault="0006608F" w:rsidP="00FB185D">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ab/>
      </w:r>
      <w:proofErr w:type="spellStart"/>
      <w:r>
        <w:rPr>
          <w:rStyle w:val="Bold"/>
          <w:bCs w:val="0"/>
          <w:sz w:val="28"/>
          <w:szCs w:val="28"/>
        </w:rPr>
        <w:t>HB</w:t>
      </w:r>
      <w:proofErr w:type="spellEnd"/>
      <w:r>
        <w:rPr>
          <w:rStyle w:val="Bold"/>
          <w:bCs w:val="0"/>
          <w:sz w:val="28"/>
          <w:szCs w:val="28"/>
        </w:rPr>
        <w:t xml:space="preserve"> 2329, Feb 28, 2019, </w:t>
      </w:r>
      <w:r w:rsidR="00A447CF">
        <w:rPr>
          <w:rStyle w:val="Bold"/>
          <w:bCs w:val="0"/>
          <w:sz w:val="28"/>
          <w:szCs w:val="28"/>
        </w:rPr>
        <w:t xml:space="preserve">Meeting, </w:t>
      </w:r>
      <w:r>
        <w:rPr>
          <w:rStyle w:val="Bold"/>
          <w:bCs w:val="0"/>
          <w:sz w:val="28"/>
          <w:szCs w:val="28"/>
        </w:rPr>
        <w:t>E</w:t>
      </w:r>
      <w:r w:rsidR="00A447CF">
        <w:rPr>
          <w:rStyle w:val="Bold"/>
          <w:bCs w:val="0"/>
          <w:sz w:val="28"/>
          <w:szCs w:val="28"/>
        </w:rPr>
        <w:t>x 44</w:t>
      </w:r>
      <w:r w:rsidR="00FB185D">
        <w:rPr>
          <w:rStyle w:val="Bold"/>
          <w:bCs w:val="0"/>
          <w:sz w:val="28"/>
          <w:szCs w:val="28"/>
        </w:rPr>
        <w:t xml:space="preserve">, Statement of Ann </w:t>
      </w:r>
      <w:proofErr w:type="spellStart"/>
      <w:r w:rsidR="00FB185D">
        <w:rPr>
          <w:rStyle w:val="Bold"/>
          <w:bCs w:val="0"/>
          <w:sz w:val="28"/>
          <w:szCs w:val="28"/>
        </w:rPr>
        <w:t>Beier</w:t>
      </w:r>
      <w:proofErr w:type="spellEnd"/>
      <w:r w:rsidR="00FB185D">
        <w:rPr>
          <w:rStyle w:val="Bold"/>
          <w:bCs w:val="0"/>
          <w:sz w:val="28"/>
          <w:szCs w:val="28"/>
        </w:rPr>
        <w:t xml:space="preserve">, </w:t>
      </w:r>
    </w:p>
    <w:p w14:paraId="66FF5B73" w14:textId="5BC54233" w:rsidR="0006608F" w:rsidRDefault="00FB185D" w:rsidP="00FB185D">
      <w:pPr>
        <w:pStyle w:val="CenterHeading"/>
        <w:tabs>
          <w:tab w:val="left" w:pos="540"/>
          <w:tab w:val="left" w:leader="dot" w:pos="8190"/>
        </w:tabs>
        <w:spacing w:before="0"/>
        <w:ind w:left="540" w:hanging="540"/>
        <w:jc w:val="left"/>
        <w:rPr>
          <w:rStyle w:val="Bold"/>
          <w:bCs w:val="0"/>
          <w:sz w:val="28"/>
          <w:szCs w:val="28"/>
        </w:rPr>
      </w:pPr>
      <w:r>
        <w:rPr>
          <w:rStyle w:val="Bold"/>
          <w:bCs w:val="0"/>
          <w:sz w:val="28"/>
          <w:szCs w:val="28"/>
        </w:rPr>
        <w:tab/>
        <w:t>Crook County Community Development</w:t>
      </w:r>
      <w:r w:rsidR="00E12088">
        <w:rPr>
          <w:rStyle w:val="Bold"/>
          <w:bCs w:val="0"/>
          <w:sz w:val="28"/>
          <w:szCs w:val="28"/>
        </w:rPr>
        <w:tab/>
        <w:t>App-8</w:t>
      </w:r>
    </w:p>
    <w:p w14:paraId="19F9A355" w14:textId="77777777" w:rsidR="0006608F" w:rsidRDefault="0006608F" w:rsidP="0006608F">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Testimony, House Committee on Energy and Environment,</w:t>
      </w:r>
    </w:p>
    <w:p w14:paraId="18FBA0D7" w14:textId="7EA6C4B0" w:rsidR="0006608F" w:rsidRDefault="0006608F" w:rsidP="0006608F">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ab/>
      </w:r>
      <w:proofErr w:type="spellStart"/>
      <w:r w:rsidR="00FB185D">
        <w:rPr>
          <w:rStyle w:val="Bold"/>
          <w:bCs w:val="0"/>
          <w:sz w:val="28"/>
          <w:szCs w:val="28"/>
        </w:rPr>
        <w:t>HB</w:t>
      </w:r>
      <w:proofErr w:type="spellEnd"/>
      <w:r w:rsidR="00FB185D">
        <w:rPr>
          <w:rStyle w:val="Bold"/>
          <w:bCs w:val="0"/>
          <w:sz w:val="28"/>
          <w:szCs w:val="28"/>
        </w:rPr>
        <w:t xml:space="preserve"> 2329, Feb 28</w:t>
      </w:r>
      <w:r>
        <w:rPr>
          <w:rStyle w:val="Bold"/>
          <w:bCs w:val="0"/>
          <w:sz w:val="28"/>
          <w:szCs w:val="28"/>
        </w:rPr>
        <w:t xml:space="preserve">, 2019, </w:t>
      </w:r>
      <w:r w:rsidR="0050258C">
        <w:rPr>
          <w:rStyle w:val="Bold"/>
          <w:bCs w:val="0"/>
          <w:sz w:val="28"/>
          <w:szCs w:val="28"/>
        </w:rPr>
        <w:t xml:space="preserve">Meeting, </w:t>
      </w:r>
      <w:r>
        <w:rPr>
          <w:rStyle w:val="Bold"/>
          <w:bCs w:val="0"/>
          <w:sz w:val="28"/>
          <w:szCs w:val="28"/>
        </w:rPr>
        <w:t>E</w:t>
      </w:r>
      <w:r w:rsidR="0062389D">
        <w:rPr>
          <w:rStyle w:val="Bold"/>
          <w:bCs w:val="0"/>
          <w:sz w:val="28"/>
          <w:szCs w:val="28"/>
        </w:rPr>
        <w:t>x 36</w:t>
      </w:r>
      <w:r>
        <w:rPr>
          <w:rStyle w:val="Bold"/>
          <w:bCs w:val="0"/>
          <w:sz w:val="28"/>
          <w:szCs w:val="28"/>
        </w:rPr>
        <w:t xml:space="preserve">, </w:t>
      </w:r>
      <w:r w:rsidR="00FB185D">
        <w:rPr>
          <w:rStyle w:val="Bold"/>
          <w:bCs w:val="0"/>
          <w:sz w:val="28"/>
          <w:szCs w:val="28"/>
        </w:rPr>
        <w:t>P</w:t>
      </w:r>
      <w:r w:rsidR="00A57CB3">
        <w:rPr>
          <w:rStyle w:val="Bold"/>
          <w:bCs w:val="0"/>
          <w:sz w:val="28"/>
          <w:szCs w:val="28"/>
        </w:rPr>
        <w:t>resentation of</w:t>
      </w:r>
    </w:p>
    <w:p w14:paraId="08560AFC" w14:textId="165EBEF5" w:rsidR="0006608F" w:rsidRDefault="0006608F" w:rsidP="00E12088">
      <w:pPr>
        <w:pStyle w:val="CenterHeading"/>
        <w:tabs>
          <w:tab w:val="left" w:pos="540"/>
          <w:tab w:val="left" w:leader="dot" w:pos="8100"/>
        </w:tabs>
        <w:spacing w:before="0"/>
        <w:ind w:left="540" w:hanging="540"/>
        <w:jc w:val="left"/>
        <w:rPr>
          <w:rStyle w:val="Bold"/>
          <w:bCs w:val="0"/>
          <w:sz w:val="28"/>
          <w:szCs w:val="28"/>
        </w:rPr>
      </w:pPr>
      <w:r>
        <w:rPr>
          <w:rStyle w:val="Bold"/>
          <w:bCs w:val="0"/>
          <w:sz w:val="28"/>
          <w:szCs w:val="28"/>
        </w:rPr>
        <w:tab/>
      </w:r>
      <w:r w:rsidR="001711C9">
        <w:rPr>
          <w:rStyle w:val="Bold"/>
          <w:bCs w:val="0"/>
          <w:sz w:val="28"/>
          <w:szCs w:val="28"/>
        </w:rPr>
        <w:t>Rikki Se</w:t>
      </w:r>
      <w:r w:rsidR="0050258C">
        <w:rPr>
          <w:rStyle w:val="Bold"/>
          <w:bCs w:val="0"/>
          <w:sz w:val="28"/>
          <w:szCs w:val="28"/>
        </w:rPr>
        <w:t>g</w:t>
      </w:r>
      <w:r w:rsidR="001711C9">
        <w:rPr>
          <w:rStyle w:val="Bold"/>
          <w:bCs w:val="0"/>
          <w:sz w:val="28"/>
          <w:szCs w:val="28"/>
        </w:rPr>
        <w:t xml:space="preserve">uin, </w:t>
      </w:r>
      <w:r w:rsidR="00A57CB3">
        <w:rPr>
          <w:rStyle w:val="Bold"/>
          <w:bCs w:val="0"/>
          <w:sz w:val="28"/>
          <w:szCs w:val="28"/>
        </w:rPr>
        <w:t>Renewable Northwest</w:t>
      </w:r>
      <w:r w:rsidR="00E12088">
        <w:rPr>
          <w:rStyle w:val="Bold"/>
          <w:bCs w:val="0"/>
          <w:sz w:val="28"/>
          <w:szCs w:val="28"/>
        </w:rPr>
        <w:tab/>
        <w:t>App-10</w:t>
      </w:r>
    </w:p>
    <w:p w14:paraId="549D23C4" w14:textId="77777777" w:rsidR="0006608F" w:rsidRDefault="0006608F" w:rsidP="0006608F">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Testimony, House Committee on Energy and Environment,</w:t>
      </w:r>
    </w:p>
    <w:p w14:paraId="2B71F3F1" w14:textId="5F1D7426" w:rsidR="0006608F" w:rsidRDefault="0006608F" w:rsidP="0006608F">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ab/>
      </w:r>
      <w:proofErr w:type="spellStart"/>
      <w:r w:rsidR="00A57CB3">
        <w:rPr>
          <w:rStyle w:val="Bold"/>
          <w:bCs w:val="0"/>
          <w:sz w:val="28"/>
          <w:szCs w:val="28"/>
        </w:rPr>
        <w:t>HB</w:t>
      </w:r>
      <w:proofErr w:type="spellEnd"/>
      <w:r w:rsidR="00A57CB3">
        <w:rPr>
          <w:rStyle w:val="Bold"/>
          <w:bCs w:val="0"/>
          <w:sz w:val="28"/>
          <w:szCs w:val="28"/>
        </w:rPr>
        <w:t xml:space="preserve"> 2329, Feb 28</w:t>
      </w:r>
      <w:r>
        <w:rPr>
          <w:rStyle w:val="Bold"/>
          <w:bCs w:val="0"/>
          <w:sz w:val="28"/>
          <w:szCs w:val="28"/>
        </w:rPr>
        <w:t xml:space="preserve">, 2019, </w:t>
      </w:r>
      <w:r w:rsidR="00DA567C">
        <w:rPr>
          <w:rStyle w:val="Bold"/>
          <w:bCs w:val="0"/>
          <w:sz w:val="28"/>
          <w:szCs w:val="28"/>
        </w:rPr>
        <w:t xml:space="preserve">Meeting, </w:t>
      </w:r>
      <w:r>
        <w:rPr>
          <w:rStyle w:val="Bold"/>
          <w:bCs w:val="0"/>
          <w:sz w:val="28"/>
          <w:szCs w:val="28"/>
        </w:rPr>
        <w:t>E</w:t>
      </w:r>
      <w:r w:rsidR="00DA567C">
        <w:rPr>
          <w:rStyle w:val="Bold"/>
          <w:bCs w:val="0"/>
          <w:sz w:val="28"/>
          <w:szCs w:val="28"/>
        </w:rPr>
        <w:t>x 49</w:t>
      </w:r>
      <w:r>
        <w:rPr>
          <w:rStyle w:val="Bold"/>
          <w:bCs w:val="0"/>
          <w:sz w:val="28"/>
          <w:szCs w:val="28"/>
        </w:rPr>
        <w:t xml:space="preserve">, Letter </w:t>
      </w:r>
      <w:r w:rsidR="00E73985">
        <w:rPr>
          <w:rStyle w:val="Bold"/>
          <w:bCs w:val="0"/>
          <w:sz w:val="28"/>
          <w:szCs w:val="28"/>
        </w:rPr>
        <w:t>Testi</w:t>
      </w:r>
      <w:r w:rsidR="00DA567C">
        <w:rPr>
          <w:rStyle w:val="Bold"/>
          <w:bCs w:val="0"/>
          <w:sz w:val="28"/>
          <w:szCs w:val="28"/>
        </w:rPr>
        <w:t>m</w:t>
      </w:r>
      <w:r w:rsidR="00E73985">
        <w:rPr>
          <w:rStyle w:val="Bold"/>
          <w:bCs w:val="0"/>
          <w:sz w:val="28"/>
          <w:szCs w:val="28"/>
        </w:rPr>
        <w:t xml:space="preserve">ony </w:t>
      </w:r>
      <w:r>
        <w:rPr>
          <w:rStyle w:val="Bold"/>
          <w:bCs w:val="0"/>
          <w:sz w:val="28"/>
          <w:szCs w:val="28"/>
        </w:rPr>
        <w:t xml:space="preserve">of </w:t>
      </w:r>
    </w:p>
    <w:p w14:paraId="4DA820F1" w14:textId="59B7DE54" w:rsidR="0006608F" w:rsidRDefault="0006608F" w:rsidP="00E12088">
      <w:pPr>
        <w:pStyle w:val="CenterHeading"/>
        <w:tabs>
          <w:tab w:val="left" w:pos="540"/>
          <w:tab w:val="left" w:leader="dot" w:pos="8100"/>
        </w:tabs>
        <w:spacing w:before="0"/>
        <w:ind w:left="540" w:hanging="540"/>
        <w:jc w:val="left"/>
        <w:rPr>
          <w:rStyle w:val="Bold"/>
          <w:bCs w:val="0"/>
          <w:sz w:val="28"/>
          <w:szCs w:val="28"/>
        </w:rPr>
      </w:pPr>
      <w:r>
        <w:rPr>
          <w:rStyle w:val="Bold"/>
          <w:bCs w:val="0"/>
          <w:sz w:val="28"/>
          <w:szCs w:val="28"/>
        </w:rPr>
        <w:tab/>
      </w:r>
      <w:proofErr w:type="spellStart"/>
      <w:r w:rsidR="00E73985">
        <w:rPr>
          <w:rStyle w:val="Bold"/>
          <w:bCs w:val="0"/>
          <w:sz w:val="28"/>
          <w:szCs w:val="28"/>
        </w:rPr>
        <w:t>Meriel</w:t>
      </w:r>
      <w:proofErr w:type="spellEnd"/>
      <w:r w:rsidR="00E73985">
        <w:rPr>
          <w:rStyle w:val="Bold"/>
          <w:bCs w:val="0"/>
          <w:sz w:val="28"/>
          <w:szCs w:val="28"/>
        </w:rPr>
        <w:t xml:space="preserve"> L. </w:t>
      </w:r>
      <w:proofErr w:type="spellStart"/>
      <w:r w:rsidR="00E73985">
        <w:rPr>
          <w:rStyle w:val="Bold"/>
          <w:bCs w:val="0"/>
          <w:sz w:val="28"/>
          <w:szCs w:val="28"/>
        </w:rPr>
        <w:t>Darzen</w:t>
      </w:r>
      <w:proofErr w:type="spellEnd"/>
      <w:r w:rsidR="00E73985">
        <w:rPr>
          <w:rStyle w:val="Bold"/>
          <w:bCs w:val="0"/>
          <w:sz w:val="28"/>
          <w:szCs w:val="28"/>
        </w:rPr>
        <w:t xml:space="preserve">, </w:t>
      </w:r>
      <w:r w:rsidR="00A57CB3">
        <w:rPr>
          <w:rStyle w:val="Bold"/>
          <w:bCs w:val="0"/>
          <w:sz w:val="28"/>
          <w:szCs w:val="28"/>
        </w:rPr>
        <w:t>1000 Friends of Oregon</w:t>
      </w:r>
      <w:r w:rsidR="00E12088">
        <w:rPr>
          <w:rStyle w:val="Bold"/>
          <w:bCs w:val="0"/>
          <w:sz w:val="28"/>
          <w:szCs w:val="28"/>
        </w:rPr>
        <w:tab/>
        <w:t>App-21</w:t>
      </w:r>
    </w:p>
    <w:p w14:paraId="5AEAEE1E" w14:textId="77777777" w:rsidR="0006608F" w:rsidRDefault="0006608F" w:rsidP="0006608F">
      <w:pPr>
        <w:pStyle w:val="CenterHeading"/>
        <w:tabs>
          <w:tab w:val="left" w:pos="540"/>
          <w:tab w:val="left" w:leader="dot" w:pos="8190"/>
        </w:tabs>
        <w:spacing w:before="0" w:after="0"/>
        <w:ind w:left="540" w:hanging="540"/>
        <w:jc w:val="left"/>
        <w:rPr>
          <w:rStyle w:val="Bold"/>
          <w:bCs w:val="0"/>
          <w:sz w:val="28"/>
          <w:szCs w:val="28"/>
        </w:rPr>
      </w:pPr>
      <w:r>
        <w:rPr>
          <w:rStyle w:val="Bold"/>
          <w:bCs w:val="0"/>
          <w:sz w:val="28"/>
          <w:szCs w:val="28"/>
        </w:rPr>
        <w:t>Testimony, House Committee on Energy and Environment,</w:t>
      </w:r>
    </w:p>
    <w:p w14:paraId="01BDD02A" w14:textId="28AA1A2E" w:rsidR="0006608F" w:rsidRDefault="0006608F" w:rsidP="00E12088">
      <w:pPr>
        <w:pStyle w:val="CenterHeading"/>
        <w:tabs>
          <w:tab w:val="left" w:pos="540"/>
          <w:tab w:val="left" w:leader="dot" w:pos="8100"/>
        </w:tabs>
        <w:spacing w:before="0" w:after="0"/>
        <w:ind w:left="540" w:hanging="540"/>
        <w:jc w:val="left"/>
        <w:rPr>
          <w:rStyle w:val="Bold"/>
          <w:bCs w:val="0"/>
          <w:sz w:val="28"/>
          <w:szCs w:val="28"/>
        </w:rPr>
      </w:pPr>
      <w:r>
        <w:rPr>
          <w:rStyle w:val="Bold"/>
          <w:bCs w:val="0"/>
          <w:sz w:val="28"/>
          <w:szCs w:val="28"/>
        </w:rPr>
        <w:tab/>
      </w:r>
      <w:proofErr w:type="spellStart"/>
      <w:r w:rsidR="00A31D6A">
        <w:rPr>
          <w:rStyle w:val="Bold"/>
          <w:bCs w:val="0"/>
          <w:sz w:val="28"/>
          <w:szCs w:val="28"/>
        </w:rPr>
        <w:t>HB</w:t>
      </w:r>
      <w:proofErr w:type="spellEnd"/>
      <w:r w:rsidR="00A31D6A">
        <w:rPr>
          <w:rStyle w:val="Bold"/>
          <w:bCs w:val="0"/>
          <w:sz w:val="28"/>
          <w:szCs w:val="28"/>
        </w:rPr>
        <w:t xml:space="preserve"> 2329, Mar 5</w:t>
      </w:r>
      <w:r>
        <w:rPr>
          <w:rStyle w:val="Bold"/>
          <w:bCs w:val="0"/>
          <w:sz w:val="28"/>
          <w:szCs w:val="28"/>
        </w:rPr>
        <w:t xml:space="preserve">, 2019, </w:t>
      </w:r>
      <w:r w:rsidR="00A31D6A">
        <w:rPr>
          <w:rStyle w:val="Bold"/>
          <w:bCs w:val="0"/>
          <w:sz w:val="28"/>
          <w:szCs w:val="28"/>
        </w:rPr>
        <w:t xml:space="preserve">Meeting, </w:t>
      </w:r>
      <w:r>
        <w:rPr>
          <w:rStyle w:val="Bold"/>
          <w:bCs w:val="0"/>
          <w:sz w:val="28"/>
          <w:szCs w:val="28"/>
        </w:rPr>
        <w:t>E</w:t>
      </w:r>
      <w:r w:rsidR="005960E2">
        <w:rPr>
          <w:rStyle w:val="Bold"/>
          <w:bCs w:val="0"/>
          <w:sz w:val="28"/>
          <w:szCs w:val="28"/>
        </w:rPr>
        <w:t>x 26</w:t>
      </w:r>
      <w:r>
        <w:rPr>
          <w:rStyle w:val="Bold"/>
          <w:bCs w:val="0"/>
          <w:sz w:val="28"/>
          <w:szCs w:val="28"/>
        </w:rPr>
        <w:t xml:space="preserve">, Letter </w:t>
      </w:r>
      <w:r w:rsidR="00E73985">
        <w:rPr>
          <w:rStyle w:val="Bold"/>
          <w:bCs w:val="0"/>
          <w:sz w:val="28"/>
          <w:szCs w:val="28"/>
        </w:rPr>
        <w:t xml:space="preserve">Testimony </w:t>
      </w:r>
      <w:r>
        <w:rPr>
          <w:rStyle w:val="Bold"/>
          <w:bCs w:val="0"/>
          <w:sz w:val="28"/>
          <w:szCs w:val="28"/>
        </w:rPr>
        <w:t xml:space="preserve">of </w:t>
      </w:r>
    </w:p>
    <w:p w14:paraId="69E797DF" w14:textId="10198C06" w:rsidR="0006608F" w:rsidRDefault="0006608F" w:rsidP="00E12088">
      <w:pPr>
        <w:pStyle w:val="CenterHeading"/>
        <w:tabs>
          <w:tab w:val="left" w:pos="540"/>
          <w:tab w:val="left" w:leader="dot" w:pos="8100"/>
        </w:tabs>
        <w:spacing w:before="0"/>
        <w:ind w:left="540" w:hanging="540"/>
        <w:jc w:val="left"/>
        <w:rPr>
          <w:rStyle w:val="Bold"/>
          <w:bCs w:val="0"/>
          <w:sz w:val="28"/>
          <w:szCs w:val="28"/>
        </w:rPr>
      </w:pPr>
      <w:r>
        <w:rPr>
          <w:rStyle w:val="Bold"/>
          <w:bCs w:val="0"/>
          <w:sz w:val="28"/>
          <w:szCs w:val="28"/>
        </w:rPr>
        <w:tab/>
      </w:r>
      <w:r w:rsidR="00E73985">
        <w:rPr>
          <w:rStyle w:val="Bold"/>
          <w:bCs w:val="0"/>
          <w:sz w:val="28"/>
          <w:szCs w:val="28"/>
        </w:rPr>
        <w:t xml:space="preserve">Brian </w:t>
      </w:r>
      <w:proofErr w:type="spellStart"/>
      <w:r w:rsidR="00E73985">
        <w:rPr>
          <w:rStyle w:val="Bold"/>
          <w:bCs w:val="0"/>
          <w:sz w:val="28"/>
          <w:szCs w:val="28"/>
        </w:rPr>
        <w:t>Skeahan</w:t>
      </w:r>
      <w:proofErr w:type="spellEnd"/>
      <w:r w:rsidR="00E73985">
        <w:rPr>
          <w:rStyle w:val="Bold"/>
          <w:bCs w:val="0"/>
          <w:sz w:val="28"/>
          <w:szCs w:val="28"/>
        </w:rPr>
        <w:t>, Community Renewable Energy Association</w:t>
      </w:r>
      <w:r w:rsidR="00E12088">
        <w:rPr>
          <w:rStyle w:val="Bold"/>
          <w:bCs w:val="0"/>
          <w:sz w:val="28"/>
          <w:szCs w:val="28"/>
        </w:rPr>
        <w:tab/>
        <w:t>App-23</w:t>
      </w:r>
    </w:p>
    <w:p w14:paraId="57B0C6E8" w14:textId="77777777" w:rsidR="00E73985" w:rsidRDefault="00E73985" w:rsidP="00E12088">
      <w:pPr>
        <w:pStyle w:val="CenterHeading"/>
        <w:tabs>
          <w:tab w:val="left" w:pos="540"/>
          <w:tab w:val="left" w:leader="dot" w:pos="8100"/>
        </w:tabs>
        <w:spacing w:before="0" w:after="0"/>
        <w:ind w:left="540" w:hanging="540"/>
        <w:jc w:val="left"/>
        <w:rPr>
          <w:rStyle w:val="Bold"/>
          <w:bCs w:val="0"/>
          <w:sz w:val="28"/>
          <w:szCs w:val="28"/>
        </w:rPr>
      </w:pPr>
      <w:r>
        <w:rPr>
          <w:rStyle w:val="Bold"/>
          <w:bCs w:val="0"/>
          <w:sz w:val="28"/>
          <w:szCs w:val="28"/>
        </w:rPr>
        <w:t>Testimony, House Committee on Energy and Environment,</w:t>
      </w:r>
    </w:p>
    <w:p w14:paraId="33CB969C" w14:textId="06BE9A42" w:rsidR="00E73985" w:rsidRDefault="00E73985" w:rsidP="00E12088">
      <w:pPr>
        <w:pStyle w:val="CenterHeading"/>
        <w:tabs>
          <w:tab w:val="left" w:pos="540"/>
          <w:tab w:val="left" w:leader="dot" w:pos="8100"/>
        </w:tabs>
        <w:spacing w:before="0" w:after="0"/>
        <w:ind w:left="540" w:hanging="540"/>
        <w:jc w:val="left"/>
        <w:rPr>
          <w:rStyle w:val="Bold"/>
          <w:bCs w:val="0"/>
          <w:sz w:val="28"/>
          <w:szCs w:val="28"/>
        </w:rPr>
      </w:pPr>
      <w:r>
        <w:rPr>
          <w:rStyle w:val="Bold"/>
          <w:bCs w:val="0"/>
          <w:sz w:val="28"/>
          <w:szCs w:val="28"/>
        </w:rPr>
        <w:tab/>
      </w:r>
      <w:proofErr w:type="spellStart"/>
      <w:r w:rsidR="00A31D6A">
        <w:rPr>
          <w:rStyle w:val="Bold"/>
          <w:bCs w:val="0"/>
          <w:sz w:val="28"/>
          <w:szCs w:val="28"/>
        </w:rPr>
        <w:t>HB</w:t>
      </w:r>
      <w:proofErr w:type="spellEnd"/>
      <w:r w:rsidR="00A31D6A">
        <w:rPr>
          <w:rStyle w:val="Bold"/>
          <w:bCs w:val="0"/>
          <w:sz w:val="28"/>
          <w:szCs w:val="28"/>
        </w:rPr>
        <w:t xml:space="preserve"> 2329, June 10</w:t>
      </w:r>
      <w:r>
        <w:rPr>
          <w:rStyle w:val="Bold"/>
          <w:bCs w:val="0"/>
          <w:sz w:val="28"/>
          <w:szCs w:val="28"/>
        </w:rPr>
        <w:t xml:space="preserve">, 2019, </w:t>
      </w:r>
      <w:r w:rsidR="00A31D6A">
        <w:rPr>
          <w:rStyle w:val="Bold"/>
          <w:bCs w:val="0"/>
          <w:sz w:val="28"/>
          <w:szCs w:val="28"/>
        </w:rPr>
        <w:t xml:space="preserve">Meeting, </w:t>
      </w:r>
      <w:r>
        <w:rPr>
          <w:rStyle w:val="Bold"/>
          <w:bCs w:val="0"/>
          <w:sz w:val="28"/>
          <w:szCs w:val="28"/>
        </w:rPr>
        <w:t>E</w:t>
      </w:r>
      <w:r w:rsidR="00A31D6A">
        <w:rPr>
          <w:rStyle w:val="Bold"/>
          <w:bCs w:val="0"/>
          <w:sz w:val="28"/>
          <w:szCs w:val="28"/>
        </w:rPr>
        <w:t>x 15</w:t>
      </w:r>
      <w:r>
        <w:rPr>
          <w:rStyle w:val="Bold"/>
          <w:bCs w:val="0"/>
          <w:sz w:val="28"/>
          <w:szCs w:val="28"/>
        </w:rPr>
        <w:t xml:space="preserve">, Letter Testimony of </w:t>
      </w:r>
    </w:p>
    <w:p w14:paraId="245DC0D4" w14:textId="0A54F5A4" w:rsidR="00E73985" w:rsidRDefault="00E73985" w:rsidP="00E12088">
      <w:pPr>
        <w:pStyle w:val="CenterHeading"/>
        <w:tabs>
          <w:tab w:val="left" w:pos="540"/>
          <w:tab w:val="left" w:leader="dot" w:pos="8100"/>
        </w:tabs>
        <w:spacing w:before="0"/>
        <w:ind w:left="540" w:hanging="540"/>
        <w:jc w:val="left"/>
        <w:rPr>
          <w:rStyle w:val="Bold"/>
          <w:bCs w:val="0"/>
          <w:sz w:val="28"/>
          <w:szCs w:val="28"/>
        </w:rPr>
      </w:pPr>
      <w:r>
        <w:rPr>
          <w:rStyle w:val="Bold"/>
          <w:bCs w:val="0"/>
          <w:sz w:val="28"/>
          <w:szCs w:val="28"/>
        </w:rPr>
        <w:tab/>
        <w:t>Mary Kyle McCur</w:t>
      </w:r>
      <w:r w:rsidR="00E12088">
        <w:rPr>
          <w:rStyle w:val="Bold"/>
          <w:bCs w:val="0"/>
          <w:sz w:val="28"/>
          <w:szCs w:val="28"/>
        </w:rPr>
        <w:t>dy, 1000 Friends of Oregon</w:t>
      </w:r>
      <w:r w:rsidR="00E12088">
        <w:rPr>
          <w:rStyle w:val="Bold"/>
          <w:bCs w:val="0"/>
          <w:sz w:val="28"/>
          <w:szCs w:val="28"/>
        </w:rPr>
        <w:tab/>
        <w:t>App-25</w:t>
      </w:r>
    </w:p>
    <w:p w14:paraId="4DB86408" w14:textId="77777777" w:rsidR="003A65CB" w:rsidRPr="00982AE2" w:rsidRDefault="003A65CB" w:rsidP="00FB1FE3">
      <w:pPr>
        <w:pStyle w:val="CenterHeading"/>
        <w:tabs>
          <w:tab w:val="left" w:pos="540"/>
          <w:tab w:val="left" w:leader="dot" w:pos="8190"/>
        </w:tabs>
        <w:spacing w:before="120"/>
        <w:ind w:left="540" w:hanging="540"/>
        <w:jc w:val="left"/>
        <w:rPr>
          <w:rStyle w:val="Bold"/>
          <w:bCs w:val="0"/>
          <w:sz w:val="28"/>
          <w:szCs w:val="28"/>
        </w:rPr>
      </w:pPr>
    </w:p>
    <w:p w14:paraId="13C1927C" w14:textId="77777777" w:rsidR="00AD6402" w:rsidRDefault="00AD6402" w:rsidP="00AD6402">
      <w:pPr>
        <w:pStyle w:val="CenterHeading"/>
        <w:tabs>
          <w:tab w:val="left" w:leader="dot" w:pos="8190"/>
        </w:tabs>
        <w:jc w:val="left"/>
        <w:rPr>
          <w:rStyle w:val="Bold"/>
          <w:b/>
          <w:szCs w:val="28"/>
        </w:rPr>
      </w:pPr>
    </w:p>
    <w:p w14:paraId="041D50A7" w14:textId="77777777" w:rsidR="003B14B3" w:rsidRDefault="003B14B3" w:rsidP="00AD6402">
      <w:pPr>
        <w:pStyle w:val="BodyText"/>
        <w:ind w:firstLine="0"/>
        <w:jc w:val="center"/>
        <w:rPr>
          <w:b/>
        </w:rPr>
        <w:sectPr w:rsidR="003B14B3" w:rsidSect="00273ED1">
          <w:pgSz w:w="12240" w:h="15840" w:code="1"/>
          <w:pgMar w:top="1080" w:right="1440" w:bottom="1080" w:left="1800" w:header="547" w:footer="720" w:gutter="0"/>
          <w:pgNumType w:fmt="lowerRoman" w:start="1"/>
          <w:cols w:space="720"/>
          <w:docGrid w:linePitch="360"/>
        </w:sectPr>
      </w:pPr>
    </w:p>
    <w:p w14:paraId="73ABD395" w14:textId="77777777" w:rsidR="00CC5472" w:rsidRPr="0067612E" w:rsidRDefault="00CC5472" w:rsidP="0067612E">
      <w:pPr>
        <w:pStyle w:val="BodyText"/>
        <w:ind w:firstLine="0"/>
        <w:jc w:val="center"/>
        <w:rPr>
          <w:b/>
        </w:rPr>
      </w:pPr>
      <w:r w:rsidRPr="0067612E">
        <w:rPr>
          <w:b/>
        </w:rPr>
        <w:lastRenderedPageBreak/>
        <w:t>INDEX OF AUTHORITIES</w:t>
      </w:r>
    </w:p>
    <w:p w14:paraId="21E0EED2" w14:textId="77777777" w:rsidR="00CC5472" w:rsidRPr="003F1625" w:rsidRDefault="00CC5472">
      <w:pPr>
        <w:pStyle w:val="BodyTextLeft"/>
        <w:rPr>
          <w:sz w:val="28"/>
          <w:szCs w:val="28"/>
        </w:rPr>
      </w:pPr>
    </w:p>
    <w:p w14:paraId="520B1E0F" w14:textId="77777777" w:rsidR="00293B5B" w:rsidRDefault="00AB590F">
      <w:pPr>
        <w:pStyle w:val="TOAHeading"/>
        <w:tabs>
          <w:tab w:val="right" w:leader="dot" w:pos="8990"/>
        </w:tabs>
        <w:rPr>
          <w:rFonts w:asciiTheme="minorHAnsi" w:eastAsiaTheme="minorEastAsia" w:hAnsiTheme="minorHAnsi" w:cstheme="minorBidi"/>
          <w:b w:val="0"/>
          <w:bCs w:val="0"/>
          <w:noProof/>
          <w:sz w:val="22"/>
          <w:szCs w:val="22"/>
        </w:rPr>
      </w:pPr>
      <w:r>
        <w:fldChar w:fldCharType="begin"/>
      </w:r>
      <w:r>
        <w:instrText xml:space="preserve"> TOA \h \c "1" </w:instrText>
      </w:r>
      <w:r>
        <w:fldChar w:fldCharType="separate"/>
      </w:r>
      <w:r w:rsidR="00293B5B">
        <w:rPr>
          <w:noProof/>
        </w:rPr>
        <w:t>Cases</w:t>
      </w:r>
    </w:p>
    <w:p w14:paraId="72AB0641" w14:textId="77777777" w:rsidR="00B06153" w:rsidRDefault="00293B5B">
      <w:pPr>
        <w:pStyle w:val="TableofAuthorities"/>
        <w:tabs>
          <w:tab w:val="right" w:leader="dot" w:pos="8990"/>
        </w:tabs>
        <w:rPr>
          <w:noProof/>
        </w:rPr>
      </w:pPr>
      <w:r w:rsidRPr="00B06153">
        <w:rPr>
          <w:i/>
          <w:noProof/>
        </w:rPr>
        <w:t>1000 Friends of Oregon v. LCDC (Curry Co.)</w:t>
      </w:r>
      <w:r>
        <w:rPr>
          <w:noProof/>
        </w:rPr>
        <w:t xml:space="preserve">, 301 Or 447, </w:t>
      </w:r>
    </w:p>
    <w:p w14:paraId="0F8D0B48" w14:textId="336119BD" w:rsidR="00293B5B" w:rsidRDefault="00B06153">
      <w:pPr>
        <w:pStyle w:val="TableofAuthorities"/>
        <w:tabs>
          <w:tab w:val="right" w:leader="dot" w:pos="8990"/>
        </w:tabs>
        <w:rPr>
          <w:noProof/>
        </w:rPr>
      </w:pPr>
      <w:r>
        <w:rPr>
          <w:noProof/>
        </w:rPr>
        <w:tab/>
      </w:r>
      <w:r w:rsidR="00293B5B">
        <w:rPr>
          <w:noProof/>
        </w:rPr>
        <w:t>724 P2d 268 (1986)</w:t>
      </w:r>
      <w:r w:rsidR="00293B5B">
        <w:rPr>
          <w:noProof/>
        </w:rPr>
        <w:tab/>
        <w:t>5, 6</w:t>
      </w:r>
    </w:p>
    <w:p w14:paraId="7CE0E3AA" w14:textId="77777777" w:rsidR="00B06153" w:rsidRDefault="00293B5B">
      <w:pPr>
        <w:pStyle w:val="TableofAuthorities"/>
        <w:tabs>
          <w:tab w:val="right" w:leader="dot" w:pos="8990"/>
        </w:tabs>
        <w:rPr>
          <w:noProof/>
        </w:rPr>
      </w:pPr>
      <w:r w:rsidRPr="00B06153">
        <w:rPr>
          <w:i/>
          <w:noProof/>
        </w:rPr>
        <w:t>1000 Friends of Oregon v. Wasco County Court</w:t>
      </w:r>
      <w:r>
        <w:rPr>
          <w:noProof/>
        </w:rPr>
        <w:t xml:space="preserve">, 299 Or 344, </w:t>
      </w:r>
    </w:p>
    <w:p w14:paraId="30F676DD" w14:textId="34E0A794" w:rsidR="00293B5B" w:rsidRDefault="00B06153">
      <w:pPr>
        <w:pStyle w:val="TableofAuthorities"/>
        <w:tabs>
          <w:tab w:val="right" w:leader="dot" w:pos="8990"/>
        </w:tabs>
        <w:rPr>
          <w:noProof/>
        </w:rPr>
      </w:pPr>
      <w:r>
        <w:rPr>
          <w:noProof/>
        </w:rPr>
        <w:tab/>
      </w:r>
      <w:r w:rsidR="00293B5B">
        <w:rPr>
          <w:noProof/>
        </w:rPr>
        <w:t>703 P2d 207 (1985)</w:t>
      </w:r>
      <w:r w:rsidR="00293B5B">
        <w:rPr>
          <w:noProof/>
        </w:rPr>
        <w:tab/>
        <w:t>4</w:t>
      </w:r>
    </w:p>
    <w:p w14:paraId="7A3ACE7A" w14:textId="77777777" w:rsidR="00293B5B" w:rsidRDefault="00293B5B">
      <w:pPr>
        <w:pStyle w:val="TableofAuthorities"/>
        <w:tabs>
          <w:tab w:val="right" w:leader="dot" w:pos="8990"/>
        </w:tabs>
        <w:rPr>
          <w:noProof/>
        </w:rPr>
      </w:pPr>
      <w:r w:rsidRPr="006154B9">
        <w:rPr>
          <w:i/>
          <w:noProof/>
        </w:rPr>
        <w:t>Brentmar v. Jackson County</w:t>
      </w:r>
      <w:r>
        <w:rPr>
          <w:noProof/>
        </w:rPr>
        <w:t>, 321 Or 481, 900 P2d 1030 (1995)</w:t>
      </w:r>
      <w:r>
        <w:rPr>
          <w:noProof/>
        </w:rPr>
        <w:tab/>
        <w:t>9</w:t>
      </w:r>
    </w:p>
    <w:p w14:paraId="2F0EF9C3" w14:textId="77777777" w:rsidR="00B06153" w:rsidRDefault="00293B5B">
      <w:pPr>
        <w:pStyle w:val="TableofAuthorities"/>
        <w:tabs>
          <w:tab w:val="right" w:leader="dot" w:pos="8990"/>
        </w:tabs>
        <w:rPr>
          <w:noProof/>
        </w:rPr>
      </w:pPr>
      <w:r w:rsidRPr="006154B9">
        <w:rPr>
          <w:i/>
          <w:noProof/>
        </w:rPr>
        <w:t>Friends of the Creek v. Jackson County</w:t>
      </w:r>
      <w:r>
        <w:rPr>
          <w:noProof/>
        </w:rPr>
        <w:t xml:space="preserve">, 165 Or App 138, </w:t>
      </w:r>
    </w:p>
    <w:p w14:paraId="3D10287D" w14:textId="2CA47566" w:rsidR="00293B5B" w:rsidRDefault="00B06153">
      <w:pPr>
        <w:pStyle w:val="TableofAuthorities"/>
        <w:tabs>
          <w:tab w:val="right" w:leader="dot" w:pos="8990"/>
        </w:tabs>
        <w:rPr>
          <w:noProof/>
        </w:rPr>
      </w:pPr>
      <w:r>
        <w:rPr>
          <w:noProof/>
        </w:rPr>
        <w:tab/>
      </w:r>
      <w:r w:rsidR="00293B5B">
        <w:rPr>
          <w:noProof/>
        </w:rPr>
        <w:t>995 P2d 1204 (2000)</w:t>
      </w:r>
      <w:r w:rsidR="00293B5B">
        <w:rPr>
          <w:noProof/>
        </w:rPr>
        <w:tab/>
        <w:t>8</w:t>
      </w:r>
    </w:p>
    <w:p w14:paraId="2FEE1B27" w14:textId="77777777" w:rsidR="00293B5B" w:rsidRDefault="00293B5B">
      <w:pPr>
        <w:pStyle w:val="TableofAuthorities"/>
        <w:tabs>
          <w:tab w:val="right" w:leader="dot" w:pos="8990"/>
        </w:tabs>
        <w:rPr>
          <w:noProof/>
        </w:rPr>
      </w:pPr>
      <w:r w:rsidRPr="006154B9">
        <w:rPr>
          <w:i/>
          <w:noProof/>
        </w:rPr>
        <w:t>Green v. Douglas County</w:t>
      </w:r>
      <w:r>
        <w:rPr>
          <w:noProof/>
        </w:rPr>
        <w:t>, 245 Or App 430, 263 P3d 355 (2011)</w:t>
      </w:r>
      <w:r>
        <w:rPr>
          <w:noProof/>
        </w:rPr>
        <w:tab/>
        <w:t>8</w:t>
      </w:r>
    </w:p>
    <w:p w14:paraId="5C94758B" w14:textId="77777777" w:rsidR="00293B5B" w:rsidRDefault="00293B5B">
      <w:pPr>
        <w:pStyle w:val="TableofAuthorities"/>
        <w:tabs>
          <w:tab w:val="right" w:leader="dot" w:pos="8990"/>
        </w:tabs>
        <w:rPr>
          <w:noProof/>
        </w:rPr>
      </w:pPr>
      <w:r w:rsidRPr="006154B9">
        <w:rPr>
          <w:i/>
          <w:noProof/>
        </w:rPr>
        <w:t>Marbet v. Portland General Electric Co.</w:t>
      </w:r>
      <w:r>
        <w:rPr>
          <w:noProof/>
        </w:rPr>
        <w:t>, 277 Or 447, 561 P2d 154 (1977)</w:t>
      </w:r>
      <w:r>
        <w:rPr>
          <w:noProof/>
        </w:rPr>
        <w:tab/>
        <w:t>10, 11</w:t>
      </w:r>
    </w:p>
    <w:p w14:paraId="6192BF54" w14:textId="77777777" w:rsidR="00B811AB" w:rsidRDefault="00293B5B">
      <w:pPr>
        <w:pStyle w:val="TableofAuthorities"/>
        <w:tabs>
          <w:tab w:val="right" w:leader="dot" w:pos="8990"/>
        </w:tabs>
        <w:rPr>
          <w:noProof/>
        </w:rPr>
      </w:pPr>
      <w:r w:rsidRPr="006154B9">
        <w:rPr>
          <w:i/>
          <w:noProof/>
        </w:rPr>
        <w:t>Oregon Department of Fish and Wildlife v. Crook County</w:t>
      </w:r>
      <w:r>
        <w:rPr>
          <w:noProof/>
        </w:rPr>
        <w:t xml:space="preserve"> </w:t>
      </w:r>
    </w:p>
    <w:p w14:paraId="466E2F2F" w14:textId="4795233D" w:rsidR="00293B5B" w:rsidRDefault="00B811AB">
      <w:pPr>
        <w:pStyle w:val="TableofAuthorities"/>
        <w:tabs>
          <w:tab w:val="right" w:leader="dot" w:pos="8990"/>
        </w:tabs>
        <w:rPr>
          <w:noProof/>
        </w:rPr>
      </w:pPr>
      <w:r>
        <w:rPr>
          <w:noProof/>
        </w:rPr>
        <w:tab/>
      </w:r>
      <w:r w:rsidR="00293B5B">
        <w:rPr>
          <w:noProof/>
        </w:rPr>
        <w:t>(LUBA No. 2020-114, June 9, 2021)</w:t>
      </w:r>
      <w:r w:rsidR="00293B5B">
        <w:rPr>
          <w:noProof/>
        </w:rPr>
        <w:tab/>
        <w:t>1, 18</w:t>
      </w:r>
    </w:p>
    <w:p w14:paraId="1BBB2AA4" w14:textId="77777777" w:rsidR="00B06153" w:rsidRDefault="00AB590F">
      <w:pPr>
        <w:pStyle w:val="TOAHeading"/>
        <w:tabs>
          <w:tab w:val="right" w:leader="dot" w:pos="8990"/>
        </w:tabs>
        <w:rPr>
          <w:rFonts w:asciiTheme="minorHAnsi" w:eastAsiaTheme="minorEastAsia" w:hAnsiTheme="minorHAnsi" w:cstheme="minorBidi"/>
          <w:b w:val="0"/>
          <w:bCs w:val="0"/>
          <w:noProof/>
          <w:sz w:val="22"/>
          <w:szCs w:val="22"/>
        </w:rPr>
      </w:pPr>
      <w:r>
        <w:fldChar w:fldCharType="end"/>
      </w:r>
      <w:r>
        <w:fldChar w:fldCharType="begin"/>
      </w:r>
      <w:r>
        <w:instrText xml:space="preserve"> TOA \h \c "2" </w:instrText>
      </w:r>
      <w:r>
        <w:fldChar w:fldCharType="separate"/>
      </w:r>
      <w:r w:rsidR="00B06153">
        <w:rPr>
          <w:noProof/>
        </w:rPr>
        <w:t>Statutes</w:t>
      </w:r>
    </w:p>
    <w:p w14:paraId="765F98C9" w14:textId="77777777" w:rsidR="00B06153" w:rsidRDefault="00B06153">
      <w:pPr>
        <w:pStyle w:val="TableofAuthorities"/>
        <w:tabs>
          <w:tab w:val="right" w:leader="dot" w:pos="8990"/>
        </w:tabs>
        <w:rPr>
          <w:noProof/>
        </w:rPr>
      </w:pPr>
      <w:r>
        <w:rPr>
          <w:noProof/>
        </w:rPr>
        <w:t>Or Laws 1973, ch. 503, § 4</w:t>
      </w:r>
      <w:r>
        <w:rPr>
          <w:noProof/>
        </w:rPr>
        <w:tab/>
        <w:t>9</w:t>
      </w:r>
    </w:p>
    <w:p w14:paraId="4C755499" w14:textId="77777777" w:rsidR="00B06153" w:rsidRDefault="00B06153">
      <w:pPr>
        <w:pStyle w:val="TableofAuthorities"/>
        <w:tabs>
          <w:tab w:val="right" w:leader="dot" w:pos="8990"/>
        </w:tabs>
        <w:rPr>
          <w:noProof/>
        </w:rPr>
      </w:pPr>
      <w:r w:rsidRPr="00B06153">
        <w:rPr>
          <w:noProof/>
        </w:rPr>
        <w:t>ORS 183.310(9)</w:t>
      </w:r>
      <w:r>
        <w:rPr>
          <w:noProof/>
        </w:rPr>
        <w:tab/>
        <w:t>5</w:t>
      </w:r>
    </w:p>
    <w:p w14:paraId="4C3B5BE8" w14:textId="77777777" w:rsidR="00B06153" w:rsidRDefault="00B06153">
      <w:pPr>
        <w:pStyle w:val="TableofAuthorities"/>
        <w:tabs>
          <w:tab w:val="right" w:leader="dot" w:pos="8990"/>
        </w:tabs>
        <w:rPr>
          <w:noProof/>
        </w:rPr>
      </w:pPr>
      <w:r>
        <w:rPr>
          <w:noProof/>
        </w:rPr>
        <w:t>ORS 197.005</w:t>
      </w:r>
      <w:r>
        <w:rPr>
          <w:noProof/>
        </w:rPr>
        <w:tab/>
        <w:t>4</w:t>
      </w:r>
    </w:p>
    <w:p w14:paraId="1C41A375" w14:textId="77777777" w:rsidR="00B06153" w:rsidRDefault="00B06153">
      <w:pPr>
        <w:pStyle w:val="TableofAuthorities"/>
        <w:tabs>
          <w:tab w:val="right" w:leader="dot" w:pos="8990"/>
        </w:tabs>
        <w:rPr>
          <w:noProof/>
        </w:rPr>
      </w:pPr>
      <w:r>
        <w:rPr>
          <w:noProof/>
        </w:rPr>
        <w:t>ORS 197.010</w:t>
      </w:r>
      <w:r>
        <w:rPr>
          <w:noProof/>
        </w:rPr>
        <w:tab/>
        <w:t>4</w:t>
      </w:r>
    </w:p>
    <w:p w14:paraId="1D28809E" w14:textId="77777777" w:rsidR="00B06153" w:rsidRDefault="00B06153">
      <w:pPr>
        <w:pStyle w:val="TableofAuthorities"/>
        <w:tabs>
          <w:tab w:val="right" w:leader="dot" w:pos="8990"/>
        </w:tabs>
        <w:rPr>
          <w:noProof/>
        </w:rPr>
      </w:pPr>
      <w:r>
        <w:rPr>
          <w:noProof/>
        </w:rPr>
        <w:t>ORS 197.015(8)</w:t>
      </w:r>
      <w:r>
        <w:rPr>
          <w:noProof/>
        </w:rPr>
        <w:tab/>
        <w:t>5</w:t>
      </w:r>
    </w:p>
    <w:p w14:paraId="35DB0152" w14:textId="77777777" w:rsidR="00B06153" w:rsidRDefault="00B06153">
      <w:pPr>
        <w:pStyle w:val="TableofAuthorities"/>
        <w:tabs>
          <w:tab w:val="right" w:leader="dot" w:pos="8990"/>
        </w:tabs>
        <w:rPr>
          <w:noProof/>
        </w:rPr>
      </w:pPr>
      <w:r>
        <w:rPr>
          <w:noProof/>
        </w:rPr>
        <w:t>ORS 197.015(9)</w:t>
      </w:r>
      <w:r>
        <w:rPr>
          <w:noProof/>
        </w:rPr>
        <w:tab/>
        <w:t>5</w:t>
      </w:r>
    </w:p>
    <w:p w14:paraId="2DCE6B0D" w14:textId="77777777" w:rsidR="00B06153" w:rsidRDefault="00B06153">
      <w:pPr>
        <w:pStyle w:val="TableofAuthorities"/>
        <w:tabs>
          <w:tab w:val="right" w:leader="dot" w:pos="8990"/>
        </w:tabs>
        <w:rPr>
          <w:noProof/>
        </w:rPr>
      </w:pPr>
      <w:r>
        <w:rPr>
          <w:noProof/>
        </w:rPr>
        <w:t>ORS 197.175(2)(c)</w:t>
      </w:r>
      <w:r>
        <w:rPr>
          <w:noProof/>
        </w:rPr>
        <w:tab/>
        <w:t>6</w:t>
      </w:r>
    </w:p>
    <w:p w14:paraId="62ED9767" w14:textId="77777777" w:rsidR="00B06153" w:rsidRDefault="00B06153">
      <w:pPr>
        <w:pStyle w:val="TableofAuthorities"/>
        <w:tabs>
          <w:tab w:val="right" w:leader="dot" w:pos="8990"/>
        </w:tabs>
        <w:rPr>
          <w:noProof/>
        </w:rPr>
      </w:pPr>
      <w:r>
        <w:rPr>
          <w:noProof/>
        </w:rPr>
        <w:t>ORS 197.251(1)</w:t>
      </w:r>
      <w:r>
        <w:rPr>
          <w:noProof/>
        </w:rPr>
        <w:tab/>
        <w:t>6</w:t>
      </w:r>
    </w:p>
    <w:p w14:paraId="4FD647C6" w14:textId="77777777" w:rsidR="00B06153" w:rsidRDefault="00B06153">
      <w:pPr>
        <w:pStyle w:val="TableofAuthorities"/>
        <w:tabs>
          <w:tab w:val="right" w:leader="dot" w:pos="8990"/>
        </w:tabs>
        <w:rPr>
          <w:noProof/>
        </w:rPr>
      </w:pPr>
      <w:r>
        <w:rPr>
          <w:noProof/>
        </w:rPr>
        <w:t>ORS 197.445</w:t>
      </w:r>
      <w:r>
        <w:rPr>
          <w:noProof/>
        </w:rPr>
        <w:tab/>
        <w:t>7</w:t>
      </w:r>
    </w:p>
    <w:p w14:paraId="6A8C4C58" w14:textId="77777777" w:rsidR="00B06153" w:rsidRDefault="00B06153">
      <w:pPr>
        <w:pStyle w:val="TableofAuthorities"/>
        <w:tabs>
          <w:tab w:val="right" w:leader="dot" w:pos="8990"/>
        </w:tabs>
        <w:rPr>
          <w:noProof/>
        </w:rPr>
      </w:pPr>
      <w:r>
        <w:rPr>
          <w:noProof/>
        </w:rPr>
        <w:t>ORS 197.763</w:t>
      </w:r>
      <w:r>
        <w:rPr>
          <w:noProof/>
        </w:rPr>
        <w:tab/>
        <w:t>8</w:t>
      </w:r>
    </w:p>
    <w:p w14:paraId="2359CEDF" w14:textId="77777777" w:rsidR="00B06153" w:rsidRDefault="00B06153">
      <w:pPr>
        <w:pStyle w:val="TableofAuthorities"/>
        <w:tabs>
          <w:tab w:val="right" w:leader="dot" w:pos="8990"/>
        </w:tabs>
        <w:rPr>
          <w:noProof/>
        </w:rPr>
      </w:pPr>
      <w:r>
        <w:rPr>
          <w:noProof/>
        </w:rPr>
        <w:t>ORS 215.213</w:t>
      </w:r>
      <w:r>
        <w:rPr>
          <w:noProof/>
        </w:rPr>
        <w:tab/>
        <w:t>6, 9</w:t>
      </w:r>
    </w:p>
    <w:p w14:paraId="47620100" w14:textId="77777777" w:rsidR="00B06153" w:rsidRDefault="00B06153">
      <w:pPr>
        <w:pStyle w:val="TableofAuthorities"/>
        <w:tabs>
          <w:tab w:val="right" w:leader="dot" w:pos="8990"/>
        </w:tabs>
        <w:rPr>
          <w:noProof/>
        </w:rPr>
      </w:pPr>
      <w:r>
        <w:rPr>
          <w:noProof/>
        </w:rPr>
        <w:t>ORS 215.213(2)</w:t>
      </w:r>
      <w:r>
        <w:rPr>
          <w:noProof/>
        </w:rPr>
        <w:tab/>
        <w:t>9</w:t>
      </w:r>
    </w:p>
    <w:p w14:paraId="15CD3B7D" w14:textId="77777777" w:rsidR="00B06153" w:rsidRDefault="00B06153">
      <w:pPr>
        <w:pStyle w:val="TableofAuthorities"/>
        <w:tabs>
          <w:tab w:val="right" w:leader="dot" w:pos="8990"/>
        </w:tabs>
        <w:rPr>
          <w:noProof/>
        </w:rPr>
      </w:pPr>
      <w:r>
        <w:rPr>
          <w:noProof/>
        </w:rPr>
        <w:t>ORS 215.213(2)(g)</w:t>
      </w:r>
      <w:r>
        <w:rPr>
          <w:noProof/>
        </w:rPr>
        <w:tab/>
        <w:t>9</w:t>
      </w:r>
    </w:p>
    <w:p w14:paraId="7D6FDFC1" w14:textId="77777777" w:rsidR="00B06153" w:rsidRDefault="00B06153">
      <w:pPr>
        <w:pStyle w:val="TableofAuthorities"/>
        <w:tabs>
          <w:tab w:val="right" w:leader="dot" w:pos="8990"/>
        </w:tabs>
        <w:rPr>
          <w:noProof/>
        </w:rPr>
      </w:pPr>
      <w:r>
        <w:rPr>
          <w:noProof/>
        </w:rPr>
        <w:t>ORS 215.243</w:t>
      </w:r>
      <w:r>
        <w:rPr>
          <w:noProof/>
        </w:rPr>
        <w:tab/>
        <w:t>6</w:t>
      </w:r>
    </w:p>
    <w:p w14:paraId="47E7FBE7" w14:textId="77777777" w:rsidR="00B06153" w:rsidRDefault="00B06153">
      <w:pPr>
        <w:pStyle w:val="TableofAuthorities"/>
        <w:tabs>
          <w:tab w:val="right" w:leader="dot" w:pos="8990"/>
        </w:tabs>
        <w:rPr>
          <w:noProof/>
        </w:rPr>
      </w:pPr>
      <w:r>
        <w:rPr>
          <w:noProof/>
        </w:rPr>
        <w:t>ORS 215.283(2)</w:t>
      </w:r>
      <w:r>
        <w:rPr>
          <w:noProof/>
        </w:rPr>
        <w:tab/>
        <w:t>9</w:t>
      </w:r>
    </w:p>
    <w:p w14:paraId="29B7B273" w14:textId="77777777" w:rsidR="00B06153" w:rsidRDefault="00B06153">
      <w:pPr>
        <w:pStyle w:val="TableofAuthorities"/>
        <w:tabs>
          <w:tab w:val="right" w:leader="dot" w:pos="8990"/>
        </w:tabs>
        <w:rPr>
          <w:noProof/>
        </w:rPr>
      </w:pPr>
      <w:r>
        <w:rPr>
          <w:noProof/>
        </w:rPr>
        <w:t>ORS 215.283(2)(6)</w:t>
      </w:r>
      <w:r>
        <w:rPr>
          <w:noProof/>
        </w:rPr>
        <w:tab/>
        <w:t>2</w:t>
      </w:r>
    </w:p>
    <w:p w14:paraId="07459DFA" w14:textId="77777777" w:rsidR="00B06153" w:rsidRDefault="00B06153">
      <w:pPr>
        <w:pStyle w:val="TableofAuthorities"/>
        <w:tabs>
          <w:tab w:val="right" w:leader="dot" w:pos="8990"/>
        </w:tabs>
        <w:rPr>
          <w:noProof/>
        </w:rPr>
      </w:pPr>
      <w:r>
        <w:rPr>
          <w:noProof/>
        </w:rPr>
        <w:t>ORS 215.283(2)(g)</w:t>
      </w:r>
      <w:r>
        <w:rPr>
          <w:noProof/>
        </w:rPr>
        <w:tab/>
        <w:t>9, 11</w:t>
      </w:r>
    </w:p>
    <w:p w14:paraId="14CA3C24" w14:textId="77777777" w:rsidR="00B06153" w:rsidRDefault="00B06153">
      <w:pPr>
        <w:pStyle w:val="TableofAuthorities"/>
        <w:tabs>
          <w:tab w:val="right" w:leader="dot" w:pos="8990"/>
        </w:tabs>
        <w:rPr>
          <w:noProof/>
        </w:rPr>
      </w:pPr>
      <w:r>
        <w:rPr>
          <w:noProof/>
        </w:rPr>
        <w:t>ORS 215.416(4)(a)</w:t>
      </w:r>
      <w:r>
        <w:rPr>
          <w:noProof/>
        </w:rPr>
        <w:tab/>
        <w:t>7</w:t>
      </w:r>
    </w:p>
    <w:p w14:paraId="2D71ED06" w14:textId="77777777" w:rsidR="00B06153" w:rsidRDefault="00B06153">
      <w:pPr>
        <w:pStyle w:val="TableofAuthorities"/>
        <w:tabs>
          <w:tab w:val="right" w:leader="dot" w:pos="8990"/>
        </w:tabs>
        <w:rPr>
          <w:noProof/>
        </w:rPr>
      </w:pPr>
      <w:r>
        <w:rPr>
          <w:noProof/>
        </w:rPr>
        <w:t>ORS 215.416(8)(a)</w:t>
      </w:r>
      <w:r>
        <w:rPr>
          <w:noProof/>
        </w:rPr>
        <w:tab/>
        <w:t>7</w:t>
      </w:r>
    </w:p>
    <w:p w14:paraId="069EBEA6" w14:textId="77777777" w:rsidR="00B06153" w:rsidRDefault="00B06153">
      <w:pPr>
        <w:pStyle w:val="TableofAuthorities"/>
        <w:tabs>
          <w:tab w:val="right" w:leader="dot" w:pos="8990"/>
        </w:tabs>
        <w:rPr>
          <w:noProof/>
        </w:rPr>
      </w:pPr>
      <w:r>
        <w:rPr>
          <w:noProof/>
        </w:rPr>
        <w:t>ORS 215.427(1)</w:t>
      </w:r>
      <w:r>
        <w:rPr>
          <w:noProof/>
        </w:rPr>
        <w:tab/>
        <w:t>8</w:t>
      </w:r>
    </w:p>
    <w:p w14:paraId="13049404" w14:textId="77777777" w:rsidR="00B06153" w:rsidRDefault="00B06153">
      <w:pPr>
        <w:pStyle w:val="TableofAuthorities"/>
        <w:tabs>
          <w:tab w:val="right" w:leader="dot" w:pos="8990"/>
        </w:tabs>
        <w:rPr>
          <w:noProof/>
        </w:rPr>
      </w:pPr>
      <w:r>
        <w:rPr>
          <w:noProof/>
        </w:rPr>
        <w:t>ORS 215.427(2)–(3)</w:t>
      </w:r>
      <w:r>
        <w:rPr>
          <w:noProof/>
        </w:rPr>
        <w:tab/>
        <w:t>8</w:t>
      </w:r>
    </w:p>
    <w:p w14:paraId="31AF094A" w14:textId="77777777" w:rsidR="00B06153" w:rsidRDefault="00B06153">
      <w:pPr>
        <w:pStyle w:val="TableofAuthorities"/>
        <w:tabs>
          <w:tab w:val="right" w:leader="dot" w:pos="8990"/>
        </w:tabs>
        <w:rPr>
          <w:noProof/>
        </w:rPr>
      </w:pPr>
      <w:r>
        <w:rPr>
          <w:noProof/>
        </w:rPr>
        <w:t>ORS 215.446</w:t>
      </w:r>
      <w:r>
        <w:rPr>
          <w:noProof/>
        </w:rPr>
        <w:tab/>
        <w:t>2, 3, 16, 17, 18, 21, 24</w:t>
      </w:r>
    </w:p>
    <w:p w14:paraId="23041953" w14:textId="77777777" w:rsidR="00B06153" w:rsidRDefault="00B06153">
      <w:pPr>
        <w:pStyle w:val="TableofAuthorities"/>
        <w:tabs>
          <w:tab w:val="right" w:leader="dot" w:pos="8990"/>
        </w:tabs>
        <w:rPr>
          <w:noProof/>
        </w:rPr>
      </w:pPr>
      <w:r>
        <w:rPr>
          <w:noProof/>
        </w:rPr>
        <w:t>ORS 215.446(1)(a)–(b)</w:t>
      </w:r>
      <w:r>
        <w:rPr>
          <w:noProof/>
        </w:rPr>
        <w:tab/>
        <w:t>2</w:t>
      </w:r>
    </w:p>
    <w:p w14:paraId="6F4C5CE4" w14:textId="77777777" w:rsidR="00B06153" w:rsidRDefault="00B06153">
      <w:pPr>
        <w:pStyle w:val="TableofAuthorities"/>
        <w:tabs>
          <w:tab w:val="right" w:leader="dot" w:pos="8990"/>
        </w:tabs>
        <w:rPr>
          <w:noProof/>
        </w:rPr>
      </w:pPr>
      <w:r>
        <w:rPr>
          <w:noProof/>
        </w:rPr>
        <w:t>ORS 215.446(1)(b)(A)</w:t>
      </w:r>
      <w:r>
        <w:rPr>
          <w:noProof/>
        </w:rPr>
        <w:tab/>
        <w:t>2</w:t>
      </w:r>
    </w:p>
    <w:p w14:paraId="5F948B91" w14:textId="77777777" w:rsidR="00B06153" w:rsidRDefault="00B06153">
      <w:pPr>
        <w:pStyle w:val="TableofAuthorities"/>
        <w:tabs>
          <w:tab w:val="right" w:leader="dot" w:pos="8990"/>
        </w:tabs>
        <w:rPr>
          <w:noProof/>
        </w:rPr>
      </w:pPr>
      <w:r>
        <w:rPr>
          <w:noProof/>
        </w:rPr>
        <w:t>ORS 215.446(2)</w:t>
      </w:r>
      <w:r>
        <w:rPr>
          <w:noProof/>
        </w:rPr>
        <w:tab/>
        <w:t>2, 3, 16, 18</w:t>
      </w:r>
    </w:p>
    <w:p w14:paraId="60BB1383" w14:textId="77777777" w:rsidR="00B06153" w:rsidRDefault="00B06153">
      <w:pPr>
        <w:pStyle w:val="TableofAuthorities"/>
        <w:tabs>
          <w:tab w:val="right" w:leader="dot" w:pos="8990"/>
        </w:tabs>
        <w:rPr>
          <w:noProof/>
        </w:rPr>
      </w:pPr>
      <w:r>
        <w:rPr>
          <w:noProof/>
        </w:rPr>
        <w:t>ORS 215.446(2)–(3)</w:t>
      </w:r>
      <w:r>
        <w:rPr>
          <w:noProof/>
        </w:rPr>
        <w:tab/>
        <w:t>2, 3</w:t>
      </w:r>
    </w:p>
    <w:p w14:paraId="03E880A1" w14:textId="77777777" w:rsidR="00B06153" w:rsidRDefault="00B06153">
      <w:pPr>
        <w:pStyle w:val="TableofAuthorities"/>
        <w:tabs>
          <w:tab w:val="right" w:leader="dot" w:pos="8990"/>
        </w:tabs>
        <w:rPr>
          <w:noProof/>
        </w:rPr>
      </w:pPr>
      <w:r>
        <w:rPr>
          <w:noProof/>
        </w:rPr>
        <w:t>ORS 215.446(3)</w:t>
      </w:r>
      <w:r>
        <w:rPr>
          <w:noProof/>
        </w:rPr>
        <w:tab/>
        <w:t>18</w:t>
      </w:r>
    </w:p>
    <w:p w14:paraId="099B5385" w14:textId="77777777" w:rsidR="00B06153" w:rsidRDefault="00B06153">
      <w:pPr>
        <w:pStyle w:val="TableofAuthorities"/>
        <w:tabs>
          <w:tab w:val="right" w:leader="dot" w:pos="8990"/>
        </w:tabs>
        <w:rPr>
          <w:noProof/>
        </w:rPr>
      </w:pPr>
      <w:r>
        <w:rPr>
          <w:noProof/>
        </w:rPr>
        <w:t>ORS 215.446(3)(a)(B) and (C)</w:t>
      </w:r>
      <w:r>
        <w:rPr>
          <w:noProof/>
        </w:rPr>
        <w:tab/>
        <w:t>16</w:t>
      </w:r>
    </w:p>
    <w:p w14:paraId="26DFBD2E" w14:textId="77777777" w:rsidR="00B06153" w:rsidRDefault="00B06153">
      <w:pPr>
        <w:pStyle w:val="TableofAuthorities"/>
        <w:tabs>
          <w:tab w:val="right" w:leader="dot" w:pos="8990"/>
        </w:tabs>
        <w:rPr>
          <w:noProof/>
        </w:rPr>
      </w:pPr>
      <w:r>
        <w:rPr>
          <w:noProof/>
        </w:rPr>
        <w:t>ORS 215.446(3)(a)(C)</w:t>
      </w:r>
      <w:r>
        <w:rPr>
          <w:noProof/>
        </w:rPr>
        <w:tab/>
        <w:t>17, 21</w:t>
      </w:r>
    </w:p>
    <w:p w14:paraId="70695976" w14:textId="77777777" w:rsidR="00B06153" w:rsidRDefault="00B06153">
      <w:pPr>
        <w:pStyle w:val="TableofAuthorities"/>
        <w:tabs>
          <w:tab w:val="right" w:leader="dot" w:pos="8990"/>
        </w:tabs>
        <w:rPr>
          <w:noProof/>
        </w:rPr>
      </w:pPr>
      <w:r>
        <w:rPr>
          <w:noProof/>
        </w:rPr>
        <w:t>ORS 215.700</w:t>
      </w:r>
      <w:r>
        <w:rPr>
          <w:noProof/>
        </w:rPr>
        <w:tab/>
        <w:t>6</w:t>
      </w:r>
    </w:p>
    <w:p w14:paraId="1499F636" w14:textId="77777777" w:rsidR="00B06153" w:rsidRDefault="00B06153">
      <w:pPr>
        <w:pStyle w:val="TableofAuthorities"/>
        <w:tabs>
          <w:tab w:val="right" w:leader="dot" w:pos="8990"/>
        </w:tabs>
        <w:rPr>
          <w:noProof/>
        </w:rPr>
      </w:pPr>
      <w:r>
        <w:rPr>
          <w:noProof/>
        </w:rPr>
        <w:t>ORS 459.017(b)</w:t>
      </w:r>
      <w:r>
        <w:rPr>
          <w:noProof/>
        </w:rPr>
        <w:tab/>
        <w:t>7</w:t>
      </w:r>
    </w:p>
    <w:p w14:paraId="71873049" w14:textId="77777777" w:rsidR="00B06153" w:rsidRDefault="00B06153">
      <w:pPr>
        <w:pStyle w:val="TableofAuthorities"/>
        <w:tabs>
          <w:tab w:val="right" w:leader="dot" w:pos="8990"/>
        </w:tabs>
        <w:rPr>
          <w:noProof/>
        </w:rPr>
      </w:pPr>
      <w:r w:rsidRPr="00256E43">
        <w:rPr>
          <w:noProof/>
          <w:color w:val="000000"/>
        </w:rPr>
        <w:t>ORS 469.010</w:t>
      </w:r>
      <w:r>
        <w:rPr>
          <w:noProof/>
        </w:rPr>
        <w:tab/>
        <w:t>10</w:t>
      </w:r>
    </w:p>
    <w:p w14:paraId="6A5442F9" w14:textId="77777777" w:rsidR="00B06153" w:rsidRDefault="00B06153">
      <w:pPr>
        <w:pStyle w:val="TableofAuthorities"/>
        <w:tabs>
          <w:tab w:val="right" w:leader="dot" w:pos="8990"/>
        </w:tabs>
        <w:rPr>
          <w:noProof/>
        </w:rPr>
      </w:pPr>
      <w:r w:rsidRPr="00256E43">
        <w:rPr>
          <w:noProof/>
          <w:color w:val="000000"/>
        </w:rPr>
        <w:t>ORS 469.030</w:t>
      </w:r>
      <w:r>
        <w:rPr>
          <w:noProof/>
        </w:rPr>
        <w:tab/>
        <w:t>10</w:t>
      </w:r>
    </w:p>
    <w:p w14:paraId="3D9A3E5F" w14:textId="77777777" w:rsidR="00B06153" w:rsidRDefault="00B06153">
      <w:pPr>
        <w:pStyle w:val="TableofAuthorities"/>
        <w:tabs>
          <w:tab w:val="right" w:leader="dot" w:pos="8990"/>
        </w:tabs>
        <w:rPr>
          <w:noProof/>
        </w:rPr>
      </w:pPr>
      <w:r>
        <w:rPr>
          <w:noProof/>
        </w:rPr>
        <w:t>ORS 469.300(11)</w:t>
      </w:r>
      <w:r>
        <w:rPr>
          <w:noProof/>
        </w:rPr>
        <w:tab/>
        <w:t>2</w:t>
      </w:r>
    </w:p>
    <w:p w14:paraId="61579C46" w14:textId="77777777" w:rsidR="00B06153" w:rsidRDefault="00B06153">
      <w:pPr>
        <w:pStyle w:val="TableofAuthorities"/>
        <w:tabs>
          <w:tab w:val="right" w:leader="dot" w:pos="8990"/>
        </w:tabs>
        <w:rPr>
          <w:noProof/>
        </w:rPr>
      </w:pPr>
      <w:r>
        <w:rPr>
          <w:noProof/>
        </w:rPr>
        <w:t>ORS 469.401(3)</w:t>
      </w:r>
      <w:r>
        <w:rPr>
          <w:noProof/>
        </w:rPr>
        <w:tab/>
        <w:t>10</w:t>
      </w:r>
    </w:p>
    <w:p w14:paraId="79131A7E" w14:textId="77777777" w:rsidR="00B06153" w:rsidRDefault="00B06153">
      <w:pPr>
        <w:pStyle w:val="TableofAuthorities"/>
        <w:tabs>
          <w:tab w:val="right" w:leader="dot" w:pos="8990"/>
        </w:tabs>
        <w:rPr>
          <w:noProof/>
        </w:rPr>
      </w:pPr>
      <w:r w:rsidRPr="00256E43">
        <w:rPr>
          <w:noProof/>
          <w:color w:val="000000"/>
        </w:rPr>
        <w:t>ORS 469.470(2)</w:t>
      </w:r>
      <w:r>
        <w:rPr>
          <w:noProof/>
        </w:rPr>
        <w:tab/>
        <w:t>10</w:t>
      </w:r>
    </w:p>
    <w:p w14:paraId="6CEC57A5" w14:textId="77777777" w:rsidR="00B06153" w:rsidRDefault="00B06153">
      <w:pPr>
        <w:pStyle w:val="TableofAuthorities"/>
        <w:tabs>
          <w:tab w:val="right" w:leader="dot" w:pos="8990"/>
        </w:tabs>
        <w:rPr>
          <w:noProof/>
        </w:rPr>
      </w:pPr>
      <w:r>
        <w:rPr>
          <w:noProof/>
        </w:rPr>
        <w:t>ORS 496.012</w:t>
      </w:r>
      <w:r>
        <w:rPr>
          <w:noProof/>
        </w:rPr>
        <w:tab/>
        <w:t>18</w:t>
      </w:r>
    </w:p>
    <w:p w14:paraId="74E7FB00" w14:textId="1B22A907" w:rsidR="00293B5B" w:rsidRDefault="00AB590F">
      <w:pPr>
        <w:pStyle w:val="TOAHeading"/>
        <w:tabs>
          <w:tab w:val="right" w:leader="dot" w:pos="8990"/>
        </w:tabs>
        <w:rPr>
          <w:rFonts w:asciiTheme="minorHAnsi" w:eastAsiaTheme="minorEastAsia" w:hAnsiTheme="minorHAnsi" w:cstheme="minorBidi"/>
          <w:b w:val="0"/>
          <w:bCs w:val="0"/>
          <w:noProof/>
          <w:sz w:val="22"/>
          <w:szCs w:val="22"/>
        </w:rPr>
      </w:pPr>
      <w:r>
        <w:fldChar w:fldCharType="end"/>
      </w:r>
      <w:r>
        <w:fldChar w:fldCharType="begin"/>
      </w:r>
      <w:r>
        <w:instrText xml:space="preserve"> TOA \h \c "4" </w:instrText>
      </w:r>
      <w:r>
        <w:fldChar w:fldCharType="separate"/>
      </w:r>
      <w:r w:rsidR="00293B5B">
        <w:rPr>
          <w:noProof/>
        </w:rPr>
        <w:t>Rules</w:t>
      </w:r>
    </w:p>
    <w:p w14:paraId="02952BD6" w14:textId="77777777" w:rsidR="00293B5B" w:rsidRDefault="00293B5B">
      <w:pPr>
        <w:pStyle w:val="TableofAuthorities"/>
        <w:tabs>
          <w:tab w:val="right" w:leader="dot" w:pos="8990"/>
        </w:tabs>
        <w:rPr>
          <w:noProof/>
        </w:rPr>
      </w:pPr>
      <w:r>
        <w:rPr>
          <w:noProof/>
        </w:rPr>
        <w:t>OAR 345-022-0060</w:t>
      </w:r>
      <w:r>
        <w:rPr>
          <w:noProof/>
        </w:rPr>
        <w:tab/>
        <w:t>19</w:t>
      </w:r>
    </w:p>
    <w:p w14:paraId="2FBF5589" w14:textId="77777777" w:rsidR="00293B5B" w:rsidRDefault="00293B5B">
      <w:pPr>
        <w:pStyle w:val="TableofAuthorities"/>
        <w:tabs>
          <w:tab w:val="right" w:leader="dot" w:pos="8990"/>
        </w:tabs>
        <w:rPr>
          <w:noProof/>
        </w:rPr>
      </w:pPr>
      <w:r>
        <w:rPr>
          <w:noProof/>
        </w:rPr>
        <w:t>OAR 635-415-0015(6)</w:t>
      </w:r>
      <w:r>
        <w:rPr>
          <w:noProof/>
        </w:rPr>
        <w:tab/>
        <w:t>21</w:t>
      </w:r>
    </w:p>
    <w:p w14:paraId="5A41235D" w14:textId="77777777" w:rsidR="00293B5B" w:rsidRDefault="00293B5B">
      <w:pPr>
        <w:pStyle w:val="TableofAuthorities"/>
        <w:tabs>
          <w:tab w:val="right" w:leader="dot" w:pos="8990"/>
        </w:tabs>
        <w:rPr>
          <w:noProof/>
        </w:rPr>
      </w:pPr>
      <w:r>
        <w:rPr>
          <w:noProof/>
        </w:rPr>
        <w:t>OAR 635-415-0020(2)</w:t>
      </w:r>
      <w:r>
        <w:rPr>
          <w:noProof/>
        </w:rPr>
        <w:tab/>
        <w:t>21</w:t>
      </w:r>
    </w:p>
    <w:p w14:paraId="0FF69947" w14:textId="77777777" w:rsidR="00293B5B" w:rsidRDefault="00293B5B">
      <w:pPr>
        <w:pStyle w:val="TableofAuthorities"/>
        <w:tabs>
          <w:tab w:val="right" w:leader="dot" w:pos="8990"/>
        </w:tabs>
        <w:rPr>
          <w:noProof/>
        </w:rPr>
      </w:pPr>
      <w:r>
        <w:rPr>
          <w:noProof/>
        </w:rPr>
        <w:t>OAR 635-415-0020(8)</w:t>
      </w:r>
      <w:r>
        <w:rPr>
          <w:noProof/>
        </w:rPr>
        <w:tab/>
        <w:t>18, 19</w:t>
      </w:r>
    </w:p>
    <w:p w14:paraId="02630141" w14:textId="77777777" w:rsidR="00293B5B" w:rsidRDefault="00293B5B">
      <w:pPr>
        <w:pStyle w:val="TableofAuthorities"/>
        <w:tabs>
          <w:tab w:val="right" w:leader="dot" w:pos="8990"/>
        </w:tabs>
        <w:rPr>
          <w:noProof/>
        </w:rPr>
      </w:pPr>
      <w:r>
        <w:rPr>
          <w:noProof/>
        </w:rPr>
        <w:t>OAR 660-015-0000(3).</w:t>
      </w:r>
      <w:r>
        <w:rPr>
          <w:noProof/>
        </w:rPr>
        <w:tab/>
        <w:t>6</w:t>
      </w:r>
    </w:p>
    <w:p w14:paraId="2B33C087" w14:textId="77777777" w:rsidR="00293B5B" w:rsidRDefault="00293B5B">
      <w:pPr>
        <w:pStyle w:val="TableofAuthorities"/>
        <w:tabs>
          <w:tab w:val="right" w:leader="dot" w:pos="8990"/>
        </w:tabs>
        <w:rPr>
          <w:noProof/>
        </w:rPr>
      </w:pPr>
      <w:r>
        <w:rPr>
          <w:noProof/>
        </w:rPr>
        <w:t>OAR 660-023-0020</w:t>
      </w:r>
      <w:r>
        <w:rPr>
          <w:noProof/>
        </w:rPr>
        <w:tab/>
        <w:t>14</w:t>
      </w:r>
    </w:p>
    <w:p w14:paraId="7B6DD16F" w14:textId="77777777" w:rsidR="00293B5B" w:rsidRDefault="00293B5B">
      <w:pPr>
        <w:pStyle w:val="TableofAuthorities"/>
        <w:tabs>
          <w:tab w:val="right" w:leader="dot" w:pos="8990"/>
        </w:tabs>
        <w:rPr>
          <w:noProof/>
        </w:rPr>
      </w:pPr>
      <w:r>
        <w:rPr>
          <w:noProof/>
        </w:rPr>
        <w:t>OAR 660-023-0040</w:t>
      </w:r>
      <w:r>
        <w:rPr>
          <w:noProof/>
        </w:rPr>
        <w:tab/>
        <w:t>15</w:t>
      </w:r>
    </w:p>
    <w:p w14:paraId="3F0890BA" w14:textId="77777777" w:rsidR="00293B5B" w:rsidRDefault="00293B5B">
      <w:pPr>
        <w:pStyle w:val="TableofAuthorities"/>
        <w:tabs>
          <w:tab w:val="right" w:leader="dot" w:pos="8990"/>
        </w:tabs>
        <w:rPr>
          <w:noProof/>
        </w:rPr>
      </w:pPr>
      <w:r>
        <w:rPr>
          <w:noProof/>
        </w:rPr>
        <w:t>OAR 660-023-0090</w:t>
      </w:r>
      <w:r>
        <w:rPr>
          <w:noProof/>
        </w:rPr>
        <w:tab/>
        <w:t>14</w:t>
      </w:r>
    </w:p>
    <w:p w14:paraId="46A4FDB8" w14:textId="77777777" w:rsidR="00293B5B" w:rsidRDefault="00293B5B">
      <w:pPr>
        <w:pStyle w:val="TableofAuthorities"/>
        <w:tabs>
          <w:tab w:val="right" w:leader="dot" w:pos="8990"/>
        </w:tabs>
        <w:rPr>
          <w:noProof/>
        </w:rPr>
      </w:pPr>
      <w:r>
        <w:rPr>
          <w:noProof/>
        </w:rPr>
        <w:t>OAR 660-023-0090(4), (5)</w:t>
      </w:r>
      <w:r>
        <w:rPr>
          <w:noProof/>
        </w:rPr>
        <w:tab/>
        <w:t>14</w:t>
      </w:r>
    </w:p>
    <w:p w14:paraId="42A666FE" w14:textId="77777777" w:rsidR="00293B5B" w:rsidRDefault="00293B5B">
      <w:pPr>
        <w:pStyle w:val="TableofAuthorities"/>
        <w:tabs>
          <w:tab w:val="right" w:leader="dot" w:pos="8990"/>
        </w:tabs>
        <w:rPr>
          <w:noProof/>
        </w:rPr>
      </w:pPr>
      <w:r>
        <w:rPr>
          <w:noProof/>
        </w:rPr>
        <w:t>OAR 660-023-0110(2)</w:t>
      </w:r>
      <w:r>
        <w:rPr>
          <w:noProof/>
        </w:rPr>
        <w:tab/>
        <w:t>15</w:t>
      </w:r>
    </w:p>
    <w:p w14:paraId="04C9EE60" w14:textId="77777777" w:rsidR="00293B5B" w:rsidRDefault="00293B5B">
      <w:pPr>
        <w:pStyle w:val="TableofAuthorities"/>
        <w:tabs>
          <w:tab w:val="right" w:leader="dot" w:pos="8990"/>
        </w:tabs>
        <w:rPr>
          <w:noProof/>
        </w:rPr>
      </w:pPr>
      <w:r>
        <w:rPr>
          <w:noProof/>
        </w:rPr>
        <w:t>OAR 660-023-0110(6)</w:t>
      </w:r>
      <w:r>
        <w:rPr>
          <w:noProof/>
        </w:rPr>
        <w:tab/>
        <w:t>15</w:t>
      </w:r>
    </w:p>
    <w:p w14:paraId="51CA9305" w14:textId="77777777" w:rsidR="00293B5B" w:rsidRDefault="00293B5B">
      <w:pPr>
        <w:pStyle w:val="TableofAuthorities"/>
        <w:tabs>
          <w:tab w:val="right" w:leader="dot" w:pos="8990"/>
        </w:tabs>
        <w:rPr>
          <w:noProof/>
        </w:rPr>
      </w:pPr>
      <w:r>
        <w:rPr>
          <w:noProof/>
        </w:rPr>
        <w:t>OAR 660-033-0120</w:t>
      </w:r>
      <w:r>
        <w:rPr>
          <w:noProof/>
        </w:rPr>
        <w:tab/>
        <w:t>6</w:t>
      </w:r>
    </w:p>
    <w:p w14:paraId="6376FEDB" w14:textId="77777777" w:rsidR="00293B5B" w:rsidRDefault="00293B5B">
      <w:pPr>
        <w:pStyle w:val="TableofAuthorities"/>
        <w:tabs>
          <w:tab w:val="right" w:leader="dot" w:pos="8990"/>
        </w:tabs>
        <w:rPr>
          <w:noProof/>
        </w:rPr>
      </w:pPr>
      <w:r>
        <w:rPr>
          <w:noProof/>
        </w:rPr>
        <w:t>OAR 660-033-0130(37)</w:t>
      </w:r>
      <w:r>
        <w:rPr>
          <w:noProof/>
        </w:rPr>
        <w:tab/>
        <w:t>11</w:t>
      </w:r>
    </w:p>
    <w:p w14:paraId="671C01CE" w14:textId="77777777" w:rsidR="00293B5B" w:rsidRDefault="00293B5B">
      <w:pPr>
        <w:pStyle w:val="TableofAuthorities"/>
        <w:tabs>
          <w:tab w:val="right" w:leader="dot" w:pos="8990"/>
        </w:tabs>
        <w:rPr>
          <w:noProof/>
        </w:rPr>
      </w:pPr>
      <w:r>
        <w:rPr>
          <w:noProof/>
        </w:rPr>
        <w:t>OAR 660-033-0130(38)</w:t>
      </w:r>
      <w:r>
        <w:rPr>
          <w:noProof/>
        </w:rPr>
        <w:tab/>
        <w:t>2, 15</w:t>
      </w:r>
    </w:p>
    <w:p w14:paraId="387E2B68" w14:textId="77777777" w:rsidR="00293B5B" w:rsidRDefault="00293B5B">
      <w:pPr>
        <w:pStyle w:val="TableofAuthorities"/>
        <w:tabs>
          <w:tab w:val="right" w:leader="dot" w:pos="8990"/>
        </w:tabs>
        <w:rPr>
          <w:noProof/>
        </w:rPr>
      </w:pPr>
      <w:r>
        <w:rPr>
          <w:noProof/>
        </w:rPr>
        <w:t>OAR 660-033-0130(38)(j)(F) and (G)</w:t>
      </w:r>
      <w:r>
        <w:rPr>
          <w:noProof/>
        </w:rPr>
        <w:tab/>
        <w:t>15</w:t>
      </w:r>
    </w:p>
    <w:p w14:paraId="5B53FA03" w14:textId="77777777" w:rsidR="00293B5B" w:rsidRDefault="00293B5B">
      <w:pPr>
        <w:pStyle w:val="TableofAuthorities"/>
        <w:tabs>
          <w:tab w:val="right" w:leader="dot" w:pos="8990"/>
        </w:tabs>
        <w:rPr>
          <w:noProof/>
        </w:rPr>
      </w:pPr>
      <w:r>
        <w:rPr>
          <w:noProof/>
        </w:rPr>
        <w:t>OAR 660-15-0000(1)</w:t>
      </w:r>
      <w:r>
        <w:rPr>
          <w:noProof/>
        </w:rPr>
        <w:tab/>
        <w:t>8</w:t>
      </w:r>
    </w:p>
    <w:p w14:paraId="3FAB3F00" w14:textId="77777777" w:rsidR="00293B5B" w:rsidRDefault="00293B5B">
      <w:pPr>
        <w:pStyle w:val="TableofAuthorities"/>
        <w:tabs>
          <w:tab w:val="right" w:leader="dot" w:pos="8990"/>
        </w:tabs>
        <w:rPr>
          <w:noProof/>
        </w:rPr>
      </w:pPr>
      <w:r>
        <w:rPr>
          <w:noProof/>
        </w:rPr>
        <w:t>OAR Chapter 660, Division 33</w:t>
      </w:r>
      <w:r>
        <w:rPr>
          <w:noProof/>
        </w:rPr>
        <w:tab/>
        <w:t>6</w:t>
      </w:r>
    </w:p>
    <w:p w14:paraId="46838FDF" w14:textId="38BE3AF1" w:rsidR="00CC5472" w:rsidRPr="003F1625" w:rsidRDefault="00AB590F" w:rsidP="007F16EB">
      <w:pPr>
        <w:pStyle w:val="BodyText"/>
        <w:sectPr w:rsidR="00CC5472" w:rsidRPr="003F1625" w:rsidSect="00273ED1">
          <w:pgSz w:w="12240" w:h="15840" w:code="1"/>
          <w:pgMar w:top="1080" w:right="1440" w:bottom="1080" w:left="1800" w:header="547" w:footer="720" w:gutter="0"/>
          <w:pgNumType w:fmt="lowerRoman" w:start="1"/>
          <w:cols w:space="720"/>
          <w:docGrid w:linePitch="360"/>
        </w:sectPr>
      </w:pPr>
      <w:r>
        <w:fldChar w:fldCharType="end"/>
      </w:r>
    </w:p>
    <w:p w14:paraId="40333A66" w14:textId="77777777" w:rsidR="00CC5472" w:rsidRPr="003F1625" w:rsidRDefault="00CC5472" w:rsidP="001935E8">
      <w:pPr>
        <w:pStyle w:val="Heading1"/>
      </w:pPr>
      <w:bookmarkStart w:id="0" w:name="_Toc78292812"/>
      <w:r w:rsidRPr="003F1625">
        <w:lastRenderedPageBreak/>
        <w:t>STATEMENT OF THE CASE</w:t>
      </w:r>
      <w:bookmarkEnd w:id="0"/>
    </w:p>
    <w:p w14:paraId="08543379" w14:textId="77777777" w:rsidR="003F592A" w:rsidRPr="003F1625" w:rsidRDefault="00CC5472" w:rsidP="001935E8">
      <w:pPr>
        <w:pStyle w:val="Heading2"/>
      </w:pPr>
      <w:r w:rsidRPr="003F1625">
        <w:fldChar w:fldCharType="begin"/>
      </w:r>
      <w:r w:rsidRPr="003F1625">
        <w:instrText xml:space="preserve"> MACROBUTTON NoMacro </w:instrText>
      </w:r>
      <w:r w:rsidRPr="003F1625">
        <w:fldChar w:fldCharType="separate"/>
      </w:r>
      <w:r w:rsidRPr="003F1625">
        <w:t>Error! Bookmark not defined.</w:t>
      </w:r>
      <w:bookmarkStart w:id="1" w:name="_Toc78292813"/>
      <w:r w:rsidRPr="003F1625">
        <w:fldChar w:fldCharType="end"/>
      </w:r>
      <w:r w:rsidR="003F592A" w:rsidRPr="003F1625">
        <w:t>Nature of Action and Relief Sought</w:t>
      </w:r>
      <w:bookmarkEnd w:id="1"/>
    </w:p>
    <w:p w14:paraId="21476953" w14:textId="5BA1BEFB" w:rsidR="00CC5472" w:rsidRPr="007F16EB" w:rsidRDefault="00AB1681" w:rsidP="007F16EB">
      <w:pPr>
        <w:pStyle w:val="BodyText"/>
      </w:pPr>
      <w:r w:rsidRPr="007F16EB">
        <w:t>This appeal arises out of the final opinion and order of the Land Use Boar</w:t>
      </w:r>
      <w:r w:rsidR="00D57454" w:rsidRPr="007F16EB">
        <w:t>d of Appeals (“</w:t>
      </w:r>
      <w:proofErr w:type="spellStart"/>
      <w:r w:rsidR="00D57454" w:rsidRPr="007F16EB">
        <w:t>LUBA</w:t>
      </w:r>
      <w:proofErr w:type="spellEnd"/>
      <w:r w:rsidR="00D57454" w:rsidRPr="007F16EB">
        <w:t xml:space="preserve">”) in </w:t>
      </w:r>
      <w:r w:rsidR="00D57454" w:rsidRPr="00996D65">
        <w:rPr>
          <w:i/>
        </w:rPr>
        <w:t>Oregon Department of Fish and Wildlife v. Crook County</w:t>
      </w:r>
      <w:r w:rsidR="00D57454" w:rsidRPr="007F16EB">
        <w:t xml:space="preserve"> (</w:t>
      </w:r>
      <w:proofErr w:type="spellStart"/>
      <w:r w:rsidR="00D57454" w:rsidRPr="007F16EB">
        <w:t>LUBA</w:t>
      </w:r>
      <w:proofErr w:type="spellEnd"/>
      <w:r w:rsidR="00D57454" w:rsidRPr="007F16EB">
        <w:t xml:space="preserve"> No. 2020-114, June 9, 2021)</w:t>
      </w:r>
      <w:r w:rsidR="00FD546A">
        <w:fldChar w:fldCharType="begin"/>
      </w:r>
      <w:r w:rsidR="00FD546A">
        <w:instrText xml:space="preserve"> TA \l "</w:instrText>
      </w:r>
      <w:r w:rsidR="00FD546A" w:rsidRPr="00BC6937">
        <w:rPr>
          <w:i/>
        </w:rPr>
        <w:instrText>Oregon Department of Fish and Wildlife v. Crook County</w:instrText>
      </w:r>
      <w:r w:rsidR="00FD546A" w:rsidRPr="00BC6937">
        <w:instrText xml:space="preserve"> (LUBA No. 2020-114, June 9, 2021)</w:instrText>
      </w:r>
      <w:r w:rsidR="00FD546A">
        <w:instrText xml:space="preserve">" \s "Oregon Department of Fish and Wildlife v. Crook County (LUBA No. 2020-114, June 9, 2021)" \c 1 </w:instrText>
      </w:r>
      <w:r w:rsidR="00FD546A">
        <w:fldChar w:fldCharType="end"/>
      </w:r>
      <w:r w:rsidR="00AA09AD">
        <w:t xml:space="preserve"> </w:t>
      </w:r>
      <w:r w:rsidR="00D57454" w:rsidRPr="007F16EB">
        <w:t xml:space="preserve">(“Opinion”).  Amicus </w:t>
      </w:r>
      <w:r w:rsidR="00AA09AD">
        <w:t xml:space="preserve">curiae </w:t>
      </w:r>
      <w:r w:rsidR="00D57454" w:rsidRPr="007F16EB">
        <w:t>Community Renewable Energy Association (“</w:t>
      </w:r>
      <w:proofErr w:type="spellStart"/>
      <w:r w:rsidR="00D57454" w:rsidRPr="007F16EB">
        <w:t>CREA</w:t>
      </w:r>
      <w:proofErr w:type="spellEnd"/>
      <w:r w:rsidR="00D57454" w:rsidRPr="007F16EB">
        <w:t xml:space="preserve">”) is aligned with Petitioner West Prineville Solar Farm LLC (“West Prineville Solar”) </w:t>
      </w:r>
      <w:r w:rsidR="00A15C24">
        <w:t xml:space="preserve">and </w:t>
      </w:r>
      <w:r w:rsidR="001E1657">
        <w:t xml:space="preserve">Petitioner </w:t>
      </w:r>
      <w:r w:rsidR="00A15C24">
        <w:t xml:space="preserve">Crook County (“County”) </w:t>
      </w:r>
      <w:r w:rsidR="00D57454" w:rsidRPr="007F16EB">
        <w:t xml:space="preserve">and seeks reversal </w:t>
      </w:r>
      <w:r w:rsidR="00A15C24">
        <w:t>and remand</w:t>
      </w:r>
      <w:r w:rsidR="00AA09AD">
        <w:t xml:space="preserve"> of</w:t>
      </w:r>
      <w:r w:rsidR="00A15C24">
        <w:t xml:space="preserve"> </w:t>
      </w:r>
      <w:proofErr w:type="spellStart"/>
      <w:r w:rsidR="00A15C24">
        <w:t>LUBA’s</w:t>
      </w:r>
      <w:proofErr w:type="spellEnd"/>
      <w:r w:rsidR="00A15C24">
        <w:t xml:space="preserve"> decision with instructions to apply the correct legal standards.</w:t>
      </w:r>
    </w:p>
    <w:p w14:paraId="4BA049C0" w14:textId="77777777" w:rsidR="008E5BD8" w:rsidRDefault="00EC0569" w:rsidP="001935E8">
      <w:pPr>
        <w:pStyle w:val="Heading2"/>
      </w:pPr>
      <w:bookmarkStart w:id="2" w:name="_Toc78292814"/>
      <w:r w:rsidRPr="003F1625">
        <w:t xml:space="preserve">Nature of the </w:t>
      </w:r>
      <w:r w:rsidR="00A15C24">
        <w:t>Final Opinion and Order</w:t>
      </w:r>
      <w:bookmarkEnd w:id="2"/>
    </w:p>
    <w:p w14:paraId="5F3A3838" w14:textId="77777777" w:rsidR="008E5BD8" w:rsidRPr="008E5BD8" w:rsidRDefault="008E5BD8" w:rsidP="007F16EB">
      <w:pPr>
        <w:pStyle w:val="BodyText"/>
      </w:pPr>
      <w:proofErr w:type="spellStart"/>
      <w:r>
        <w:t>CREA</w:t>
      </w:r>
      <w:proofErr w:type="spellEnd"/>
      <w:r>
        <w:t xml:space="preserve"> accepts </w:t>
      </w:r>
      <w:r w:rsidR="00154472">
        <w:t xml:space="preserve">the </w:t>
      </w:r>
      <w:r>
        <w:t>statement</w:t>
      </w:r>
      <w:r w:rsidR="00A15C24">
        <w:t>s</w:t>
      </w:r>
      <w:r>
        <w:t xml:space="preserve"> of the nature of the decision</w:t>
      </w:r>
      <w:r w:rsidR="00154472">
        <w:t xml:space="preserve"> by West Prineville Solar and the County</w:t>
      </w:r>
      <w:r>
        <w:t>.</w:t>
      </w:r>
    </w:p>
    <w:p w14:paraId="578BA4A5" w14:textId="77777777" w:rsidR="008E5BD8" w:rsidRDefault="008E5BD8" w:rsidP="001935E8">
      <w:pPr>
        <w:pStyle w:val="Heading2"/>
      </w:pPr>
      <w:bookmarkStart w:id="3" w:name="_Toc78292815"/>
      <w:r>
        <w:t>Basis of Appellate Jurisdiction</w:t>
      </w:r>
      <w:bookmarkEnd w:id="3"/>
    </w:p>
    <w:p w14:paraId="233821CA" w14:textId="77777777" w:rsidR="008E5BD8" w:rsidRPr="008E5BD8" w:rsidRDefault="008E5BD8" w:rsidP="007F16EB">
      <w:pPr>
        <w:pStyle w:val="BodyText"/>
      </w:pPr>
      <w:proofErr w:type="spellStart"/>
      <w:r>
        <w:t>CREA</w:t>
      </w:r>
      <w:proofErr w:type="spellEnd"/>
      <w:r>
        <w:t xml:space="preserve"> acc</w:t>
      </w:r>
      <w:r w:rsidR="00A15C24">
        <w:t xml:space="preserve">epts the statements </w:t>
      </w:r>
      <w:r>
        <w:t>of the basis of appellate jurisdiction</w:t>
      </w:r>
      <w:r w:rsidR="00154472">
        <w:t xml:space="preserve"> by West Prineville Solar</w:t>
      </w:r>
      <w:r w:rsidR="00154472" w:rsidRPr="00A15C24">
        <w:t xml:space="preserve"> </w:t>
      </w:r>
      <w:r w:rsidR="00154472">
        <w:t>and the County</w:t>
      </w:r>
      <w:r>
        <w:t>.</w:t>
      </w:r>
    </w:p>
    <w:p w14:paraId="3B74FFAD" w14:textId="77777777" w:rsidR="008E5BD8" w:rsidRDefault="00CD30A3" w:rsidP="001935E8">
      <w:pPr>
        <w:pStyle w:val="Heading2"/>
      </w:pPr>
      <w:bookmarkStart w:id="4" w:name="_Toc78292816"/>
      <w:r>
        <w:t>Timeliness of Appeal</w:t>
      </w:r>
      <w:bookmarkEnd w:id="4"/>
    </w:p>
    <w:p w14:paraId="128159A8" w14:textId="77777777" w:rsidR="008E5BD8" w:rsidRPr="008E5BD8" w:rsidRDefault="008E5BD8" w:rsidP="007F16EB">
      <w:pPr>
        <w:pStyle w:val="BodyText"/>
      </w:pPr>
      <w:proofErr w:type="spellStart"/>
      <w:r>
        <w:t>CREA</w:t>
      </w:r>
      <w:proofErr w:type="spellEnd"/>
      <w:r>
        <w:t xml:space="preserve"> accepts the statement</w:t>
      </w:r>
      <w:r w:rsidR="00CD30A3">
        <w:t>s</w:t>
      </w:r>
      <w:r>
        <w:t xml:space="preserve"> of the effective dates for appellate purposes</w:t>
      </w:r>
      <w:r w:rsidR="00CD30A3">
        <w:t xml:space="preserve"> and timeliness of appeal</w:t>
      </w:r>
      <w:r w:rsidR="00A65DA7">
        <w:t xml:space="preserve"> by West Prineville Solar and the County</w:t>
      </w:r>
      <w:r>
        <w:t>.</w:t>
      </w:r>
    </w:p>
    <w:p w14:paraId="0759324A" w14:textId="77777777" w:rsidR="003F592A" w:rsidRPr="003F1625" w:rsidRDefault="00EC0569" w:rsidP="001935E8">
      <w:pPr>
        <w:pStyle w:val="Heading2"/>
      </w:pPr>
      <w:bookmarkStart w:id="5" w:name="_Toc78292817"/>
      <w:r w:rsidRPr="003F1625">
        <w:lastRenderedPageBreak/>
        <w:t>Questions Presented on Appeal</w:t>
      </w:r>
      <w:bookmarkEnd w:id="5"/>
    </w:p>
    <w:p w14:paraId="03EAF377" w14:textId="77777777" w:rsidR="00EC0569" w:rsidRPr="003F1625" w:rsidRDefault="00D57454" w:rsidP="007F16EB">
      <w:pPr>
        <w:pStyle w:val="BodyText"/>
      </w:pPr>
      <w:proofErr w:type="spellStart"/>
      <w:r>
        <w:t>CREA</w:t>
      </w:r>
      <w:proofErr w:type="spellEnd"/>
      <w:r>
        <w:t xml:space="preserve"> acce</w:t>
      </w:r>
      <w:r w:rsidR="003D787F">
        <w:t>pts</w:t>
      </w:r>
      <w:r>
        <w:t xml:space="preserve"> the </w:t>
      </w:r>
      <w:r w:rsidR="00CD30A3">
        <w:t xml:space="preserve">statements </w:t>
      </w:r>
      <w:r>
        <w:t>of the questions presented on appeal</w:t>
      </w:r>
      <w:r w:rsidR="00A65DA7">
        <w:t xml:space="preserve"> by West Prineville Solar and the County</w:t>
      </w:r>
      <w:r>
        <w:t>.</w:t>
      </w:r>
    </w:p>
    <w:p w14:paraId="678AC0A5" w14:textId="77777777" w:rsidR="00EC0569" w:rsidRPr="003F1625" w:rsidRDefault="006E3D0A" w:rsidP="001935E8">
      <w:pPr>
        <w:pStyle w:val="Heading2"/>
      </w:pPr>
      <w:bookmarkStart w:id="6" w:name="_Toc78292818"/>
      <w:r w:rsidRPr="003F1625">
        <w:t>Summary of Argument</w:t>
      </w:r>
      <w:bookmarkEnd w:id="6"/>
    </w:p>
    <w:p w14:paraId="510D5E6B" w14:textId="36584CDA" w:rsidR="00580304" w:rsidRPr="001935E8" w:rsidRDefault="001E09D3" w:rsidP="00580304">
      <w:pPr>
        <w:pStyle w:val="BodyText"/>
      </w:pPr>
      <w:r w:rsidRPr="001935E8">
        <w:t xml:space="preserve">This </w:t>
      </w:r>
      <w:r w:rsidR="00694ECE">
        <w:t>appeal</w:t>
      </w:r>
      <w:r w:rsidRPr="001935E8">
        <w:t xml:space="preserve"> arises out of </w:t>
      </w:r>
      <w:r w:rsidR="00694ECE">
        <w:t>the County’s approval</w:t>
      </w:r>
      <w:r w:rsidRPr="001935E8">
        <w:t xml:space="preserve"> of a solar photovoltaic facility under </w:t>
      </w:r>
      <w:proofErr w:type="spellStart"/>
      <w:r w:rsidRPr="001935E8">
        <w:t>ORS</w:t>
      </w:r>
      <w:proofErr w:type="spellEnd"/>
      <w:r w:rsidRPr="001935E8">
        <w:t xml:space="preserve"> 215.446</w:t>
      </w:r>
      <w:r w:rsidR="0067339D">
        <w:fldChar w:fldCharType="begin"/>
      </w:r>
      <w:r w:rsidR="0067339D">
        <w:instrText xml:space="preserve"> TA \l "</w:instrText>
      </w:r>
      <w:r w:rsidR="0067339D" w:rsidRPr="008D06AF">
        <w:instrText>ORS 215.446</w:instrText>
      </w:r>
      <w:r w:rsidR="0067339D">
        <w:instrText xml:space="preserve">" \s "ORS 215.446" \c 2 </w:instrText>
      </w:r>
      <w:r w:rsidR="0067339D">
        <w:fldChar w:fldCharType="end"/>
      </w:r>
      <w:r w:rsidR="00694ECE">
        <w:t xml:space="preserve">, </w:t>
      </w:r>
      <w:r w:rsidR="006315AD">
        <w:t xml:space="preserve">as codified upon the passage of </w:t>
      </w:r>
      <w:proofErr w:type="spellStart"/>
      <w:r w:rsidR="00694ECE">
        <w:t>HB</w:t>
      </w:r>
      <w:proofErr w:type="spellEnd"/>
      <w:r w:rsidR="00694ECE">
        <w:t xml:space="preserve"> 2329 in 2019</w:t>
      </w:r>
      <w:r w:rsidRPr="001935E8">
        <w:t>.</w:t>
      </w:r>
      <w:r w:rsidR="00694ECE">
        <w:t xml:space="preserve"> </w:t>
      </w:r>
      <w:r w:rsidRPr="001935E8">
        <w:t xml:space="preserve"> </w:t>
      </w:r>
      <w:proofErr w:type="spellStart"/>
      <w:r w:rsidRPr="001935E8">
        <w:t>HB</w:t>
      </w:r>
      <w:proofErr w:type="spellEnd"/>
      <w:r w:rsidRPr="001935E8">
        <w:t xml:space="preserve"> 2329 </w:t>
      </w:r>
      <w:r w:rsidR="006315AD" w:rsidRPr="001935E8">
        <w:t>authorize</w:t>
      </w:r>
      <w:r w:rsidR="006315AD">
        <w:t xml:space="preserve">s </w:t>
      </w:r>
      <w:r w:rsidRPr="001935E8">
        <w:t>counties to exercise decision-making author</w:t>
      </w:r>
      <w:r w:rsidR="000D16C8">
        <w:t xml:space="preserve">ity over </w:t>
      </w:r>
      <w:r w:rsidR="003E6D1F">
        <w:t>“renewable energy facility[</w:t>
      </w:r>
      <w:proofErr w:type="spellStart"/>
      <w:r w:rsidR="003E6D1F">
        <w:t>ies</w:t>
      </w:r>
      <w:proofErr w:type="spellEnd"/>
      <w:r w:rsidR="003E6D1F">
        <w:t>]”</w:t>
      </w:r>
      <w:r w:rsidR="00426F57">
        <w:t xml:space="preserve"> </w:t>
      </w:r>
      <w:r w:rsidR="003F33A7">
        <w:t>by evaluating applications for land use</w:t>
      </w:r>
      <w:r w:rsidR="00426F57">
        <w:t xml:space="preserve"> permits. </w:t>
      </w:r>
      <w:r w:rsidRPr="001935E8">
        <w:t xml:space="preserve"> </w:t>
      </w:r>
      <w:r w:rsidRPr="000D16C8">
        <w:rPr>
          <w:i/>
        </w:rPr>
        <w:t>See</w:t>
      </w:r>
      <w:r w:rsidRPr="001935E8">
        <w:t xml:space="preserve"> </w:t>
      </w:r>
      <w:proofErr w:type="spellStart"/>
      <w:r w:rsidRPr="001935E8">
        <w:t>ORS</w:t>
      </w:r>
      <w:proofErr w:type="spellEnd"/>
      <w:r w:rsidRPr="001935E8">
        <w:t xml:space="preserve"> 215.446</w:t>
      </w:r>
      <w:r w:rsidR="003F33A7">
        <w:t>(2)</w:t>
      </w:r>
      <w:r w:rsidR="00164358">
        <w:fldChar w:fldCharType="begin"/>
      </w:r>
      <w:r w:rsidR="00164358">
        <w:instrText xml:space="preserve"> TA \l "</w:instrText>
      </w:r>
      <w:r w:rsidR="00164358" w:rsidRPr="00965CCC">
        <w:instrText>ORS 215.446(2)</w:instrText>
      </w:r>
      <w:r w:rsidR="00164358">
        <w:instrText xml:space="preserve">" \s "ORS 215.446(2)" \c 2 </w:instrText>
      </w:r>
      <w:r w:rsidR="00164358">
        <w:fldChar w:fldCharType="end"/>
      </w:r>
      <w:r w:rsidR="003F33A7">
        <w:t>–(3)</w:t>
      </w:r>
      <w:r w:rsidR="00A81C3C">
        <w:fldChar w:fldCharType="begin"/>
      </w:r>
      <w:r w:rsidR="00A81C3C">
        <w:instrText xml:space="preserve"> TA \l "</w:instrText>
      </w:r>
      <w:r w:rsidR="00A81C3C" w:rsidRPr="00965CCC">
        <w:instrText>ORS 215.446(2)–(3)</w:instrText>
      </w:r>
      <w:r w:rsidR="00A81C3C">
        <w:instrText xml:space="preserve">" \s "ORS 215.446(2)–(3)" \c 2 </w:instrText>
      </w:r>
      <w:r w:rsidR="00A81C3C">
        <w:fldChar w:fldCharType="end"/>
      </w:r>
      <w:r w:rsidR="003F33A7">
        <w:t xml:space="preserve">.  </w:t>
      </w:r>
      <w:r w:rsidR="00CF02AB">
        <w:t xml:space="preserve">Counties have long exercised authority over commercial generating facilities, including solar generating facilities up to 320 acres on </w:t>
      </w:r>
      <w:proofErr w:type="spellStart"/>
      <w:r w:rsidR="00CF02AB">
        <w:t>nonarable</w:t>
      </w:r>
      <w:proofErr w:type="spellEnd"/>
      <w:r w:rsidR="00CF02AB">
        <w:t xml:space="preserve"> land, </w:t>
      </w:r>
      <w:proofErr w:type="spellStart"/>
      <w:r w:rsidR="00CF02AB">
        <w:t>ORS</w:t>
      </w:r>
      <w:proofErr w:type="spellEnd"/>
      <w:r w:rsidR="00CF02AB">
        <w:t xml:space="preserve"> 215.283(2)(6)</w:t>
      </w:r>
      <w:r w:rsidR="00A81C3C">
        <w:fldChar w:fldCharType="begin"/>
      </w:r>
      <w:r w:rsidR="00A81C3C">
        <w:instrText xml:space="preserve"> TA \l "</w:instrText>
      </w:r>
      <w:r w:rsidR="00A81C3C" w:rsidRPr="00965CCC">
        <w:instrText>ORS 215.283(2)(6)</w:instrText>
      </w:r>
      <w:r w:rsidR="00A81C3C">
        <w:instrText xml:space="preserve">" \s "ORS 215.283(2)(6)" \c 2 </w:instrText>
      </w:r>
      <w:r w:rsidR="00A81C3C">
        <w:fldChar w:fldCharType="end"/>
      </w:r>
      <w:r w:rsidR="00CF02AB">
        <w:t>; OAR 660-033-013</w:t>
      </w:r>
      <w:r w:rsidR="003E6D1F">
        <w:t>0</w:t>
      </w:r>
      <w:r w:rsidR="009106E4">
        <w:fldChar w:fldCharType="begin"/>
      </w:r>
      <w:r w:rsidR="009106E4">
        <w:instrText xml:space="preserve"> TA \l "</w:instrText>
      </w:r>
      <w:r w:rsidR="009106E4" w:rsidRPr="00965CCC">
        <w:instrText>OAR 660-033-0130(38)</w:instrText>
      </w:r>
      <w:r w:rsidR="009106E4">
        <w:instrText xml:space="preserve">" \s "OAR 660-033-0130" \c 4 </w:instrText>
      </w:r>
      <w:r w:rsidR="009106E4">
        <w:fldChar w:fldCharType="end"/>
      </w:r>
      <w:r w:rsidR="00CF02AB">
        <w:t xml:space="preserve">(38), and </w:t>
      </w:r>
      <w:proofErr w:type="spellStart"/>
      <w:r w:rsidR="00CF02AB">
        <w:t>HB</w:t>
      </w:r>
      <w:proofErr w:type="spellEnd"/>
      <w:r w:rsidR="0091572A">
        <w:t> </w:t>
      </w:r>
      <w:r w:rsidR="00CF02AB">
        <w:t>2329 defines “[r]</w:t>
      </w:r>
      <w:proofErr w:type="spellStart"/>
      <w:r w:rsidR="000D16C8">
        <w:t>enewable</w:t>
      </w:r>
      <w:proofErr w:type="spellEnd"/>
      <w:r w:rsidR="000D16C8">
        <w:t xml:space="preserve"> energy f</w:t>
      </w:r>
      <w:r w:rsidRPr="001935E8">
        <w:t xml:space="preserve">acility” </w:t>
      </w:r>
      <w:r w:rsidR="00CF02AB">
        <w:t xml:space="preserve">to </w:t>
      </w:r>
      <w:r w:rsidRPr="001935E8">
        <w:t xml:space="preserve">include, in most relevant part, solar photovoltaic facilities between 321 and 1,920 acres on </w:t>
      </w:r>
      <w:proofErr w:type="spellStart"/>
      <w:r w:rsidRPr="001935E8">
        <w:t>nonarable</w:t>
      </w:r>
      <w:proofErr w:type="spellEnd"/>
      <w:r w:rsidRPr="001935E8">
        <w:t xml:space="preserve"> soils (“mid-size</w:t>
      </w:r>
      <w:r w:rsidR="000D16C8">
        <w:t>d Renewable Energy Facilities”)</w:t>
      </w:r>
      <w:r w:rsidRPr="001935E8">
        <w:t xml:space="preserve">.  </w:t>
      </w:r>
      <w:proofErr w:type="spellStart"/>
      <w:r w:rsidR="000D16C8">
        <w:t>ORS</w:t>
      </w:r>
      <w:proofErr w:type="spellEnd"/>
      <w:r w:rsidR="000D16C8">
        <w:t xml:space="preserve"> 215.446(1)(a)</w:t>
      </w:r>
      <w:r w:rsidR="0091572A">
        <w:t>–(b)</w:t>
      </w:r>
      <w:r w:rsidR="00A81C3C">
        <w:fldChar w:fldCharType="begin"/>
      </w:r>
      <w:r w:rsidR="00A81C3C">
        <w:instrText xml:space="preserve"> TA \l "</w:instrText>
      </w:r>
      <w:r w:rsidR="00A81C3C" w:rsidRPr="00965CCC">
        <w:instrText>ORS 215.446(1)(a)–(b)</w:instrText>
      </w:r>
      <w:r w:rsidR="00A81C3C">
        <w:instrText xml:space="preserve">" \s "ORS 215.446(1)(a)–(b)" \c 2 </w:instrText>
      </w:r>
      <w:r w:rsidR="00A81C3C">
        <w:fldChar w:fldCharType="end"/>
      </w:r>
      <w:r w:rsidR="000D16C8">
        <w:t xml:space="preserve">.  </w:t>
      </w:r>
      <w:r w:rsidR="0038729C">
        <w:t>Under</w:t>
      </w:r>
      <w:r w:rsidR="003F33A7">
        <w:t xml:space="preserve"> </w:t>
      </w:r>
      <w:proofErr w:type="spellStart"/>
      <w:r w:rsidR="003F33A7">
        <w:t>ORS</w:t>
      </w:r>
      <w:proofErr w:type="spellEnd"/>
      <w:r w:rsidR="003F33A7">
        <w:t xml:space="preserve"> 215.446</w:t>
      </w:r>
      <w:r w:rsidR="009106E4">
        <w:fldChar w:fldCharType="begin"/>
      </w:r>
      <w:r w:rsidR="009106E4">
        <w:instrText xml:space="preserve"> TA \s "ORS 215.446" </w:instrText>
      </w:r>
      <w:r w:rsidR="009106E4">
        <w:fldChar w:fldCharType="end"/>
      </w:r>
      <w:r w:rsidR="003F33A7">
        <w:t xml:space="preserve">, the </w:t>
      </w:r>
      <w:r w:rsidRPr="001935E8">
        <w:t>Energy Facility Siting Council (“</w:t>
      </w:r>
      <w:proofErr w:type="spellStart"/>
      <w:r w:rsidRPr="001935E8">
        <w:t>EFSC</w:t>
      </w:r>
      <w:proofErr w:type="spellEnd"/>
      <w:r w:rsidRPr="001935E8">
        <w:t xml:space="preserve">”) </w:t>
      </w:r>
      <w:r w:rsidR="003F33A7">
        <w:t xml:space="preserve">retains </w:t>
      </w:r>
      <w:r w:rsidRPr="001935E8">
        <w:t xml:space="preserve">authority over </w:t>
      </w:r>
      <w:r w:rsidR="0038729C">
        <w:t xml:space="preserve">large </w:t>
      </w:r>
      <w:r w:rsidRPr="001935E8">
        <w:t>“Energy Facilities”</w:t>
      </w:r>
      <w:r w:rsidR="003F33A7">
        <w:t xml:space="preserve"> (</w:t>
      </w:r>
      <w:proofErr w:type="spellStart"/>
      <w:r w:rsidR="003F33A7">
        <w:t>ORS</w:t>
      </w:r>
      <w:proofErr w:type="spellEnd"/>
      <w:r w:rsidR="003F33A7">
        <w:t xml:space="preserve"> 469.300(11)</w:t>
      </w:r>
      <w:r w:rsidR="009106E4">
        <w:fldChar w:fldCharType="begin"/>
      </w:r>
      <w:r w:rsidR="009106E4">
        <w:instrText xml:space="preserve"> TA \l "</w:instrText>
      </w:r>
      <w:r w:rsidR="009106E4" w:rsidRPr="00965CCC">
        <w:instrText xml:space="preserve">ORS </w:instrText>
      </w:r>
      <w:r w:rsidR="009106E4" w:rsidRPr="00965CCC">
        <w:lastRenderedPageBreak/>
        <w:instrText>469.300(11)</w:instrText>
      </w:r>
      <w:r w:rsidR="009106E4">
        <w:instrText xml:space="preserve">" \s "ORS 469.300(11)" \c 2 </w:instrText>
      </w:r>
      <w:r w:rsidR="009106E4">
        <w:fldChar w:fldCharType="end"/>
      </w:r>
      <w:r w:rsidR="0038729C">
        <w:t xml:space="preserve">; </w:t>
      </w:r>
      <w:proofErr w:type="spellStart"/>
      <w:r w:rsidR="0038729C">
        <w:t>ORS</w:t>
      </w:r>
      <w:proofErr w:type="spellEnd"/>
      <w:r w:rsidR="0038729C">
        <w:t xml:space="preserve"> 215.446(1)(b)(A)</w:t>
      </w:r>
      <w:r w:rsidR="00A81C3C">
        <w:fldChar w:fldCharType="begin"/>
      </w:r>
      <w:r w:rsidR="00A81C3C">
        <w:instrText xml:space="preserve"> TA \l "</w:instrText>
      </w:r>
      <w:r w:rsidR="00A81C3C" w:rsidRPr="00965CCC">
        <w:instrText>ORS 215.446(1)(b)(A)</w:instrText>
      </w:r>
      <w:r w:rsidR="00A81C3C">
        <w:instrText xml:space="preserve">" \s "ORS 215.446(1)(b)(A)" \c 2 </w:instrText>
      </w:r>
      <w:r w:rsidR="00A81C3C">
        <w:fldChar w:fldCharType="end"/>
      </w:r>
      <w:r w:rsidR="0038729C">
        <w:t>),</w:t>
      </w:r>
      <w:r w:rsidRPr="001935E8">
        <w:t xml:space="preserve"> but</w:t>
      </w:r>
      <w:r w:rsidR="000D16C8">
        <w:t>, i</w:t>
      </w:r>
      <w:r w:rsidR="000D16C8" w:rsidRPr="001935E8">
        <w:t xml:space="preserve">n passing </w:t>
      </w:r>
      <w:proofErr w:type="spellStart"/>
      <w:r w:rsidR="000D16C8" w:rsidRPr="001935E8">
        <w:t>HB</w:t>
      </w:r>
      <w:proofErr w:type="spellEnd"/>
      <w:r w:rsidR="000D16C8" w:rsidRPr="001935E8">
        <w:t xml:space="preserve"> 2329</w:t>
      </w:r>
      <w:r w:rsidR="000D16C8">
        <w:t>,</w:t>
      </w:r>
      <w:r w:rsidRPr="001935E8">
        <w:t xml:space="preserve"> </w:t>
      </w:r>
      <w:r w:rsidR="003F33A7">
        <w:t xml:space="preserve">the </w:t>
      </w:r>
      <w:r w:rsidR="00BC543F">
        <w:t>l</w:t>
      </w:r>
      <w:r w:rsidR="003F33A7">
        <w:t xml:space="preserve">egislature </w:t>
      </w:r>
      <w:r w:rsidR="0038729C">
        <w:t xml:space="preserve">excluded </w:t>
      </w:r>
      <w:r w:rsidR="000D16C8">
        <w:t xml:space="preserve">mid-sized Renewable Energy Facilities </w:t>
      </w:r>
      <w:r w:rsidR="0038729C">
        <w:t xml:space="preserve">from that definition and </w:t>
      </w:r>
      <w:r w:rsidRPr="001935E8">
        <w:t xml:space="preserve">returned decision-making authority to counties </w:t>
      </w:r>
      <w:r w:rsidR="00D739D6">
        <w:t>for approval of</w:t>
      </w:r>
      <w:r w:rsidRPr="001935E8">
        <w:t xml:space="preserve"> </w:t>
      </w:r>
      <w:r w:rsidR="000D16C8">
        <w:t>such facilities</w:t>
      </w:r>
      <w:r w:rsidR="00D739D6">
        <w:t>,</w:t>
      </w:r>
      <w:r w:rsidRPr="001935E8">
        <w:t xml:space="preserve"> subject to certain express siting standards and considerations.  </w:t>
      </w:r>
      <w:proofErr w:type="spellStart"/>
      <w:r w:rsidRPr="001935E8">
        <w:t>ORS</w:t>
      </w:r>
      <w:proofErr w:type="spellEnd"/>
      <w:r w:rsidRPr="001935E8">
        <w:t xml:space="preserve"> 215.446</w:t>
      </w:r>
      <w:r w:rsidR="009106E4">
        <w:fldChar w:fldCharType="begin"/>
      </w:r>
      <w:r w:rsidR="009106E4">
        <w:instrText xml:space="preserve"> TA \s "ORS 215.446" </w:instrText>
      </w:r>
      <w:r w:rsidR="009106E4">
        <w:fldChar w:fldCharType="end"/>
      </w:r>
      <w:r w:rsidRPr="001935E8">
        <w:t>.</w:t>
      </w:r>
      <w:r w:rsidR="00580304">
        <w:t xml:space="preserve">  This Court is tasked with determining—as an issue of first impression—</w:t>
      </w:r>
      <w:r w:rsidR="00BC543F">
        <w:t>whether the l</w:t>
      </w:r>
      <w:r w:rsidR="00580304">
        <w:t>egislature</w:t>
      </w:r>
      <w:r w:rsidR="008A7CE5">
        <w:t xml:space="preserve">, when it returned control over mid-sized Renewable Energy Facilities to counties with the passage of </w:t>
      </w:r>
      <w:proofErr w:type="spellStart"/>
      <w:r w:rsidR="008A7CE5">
        <w:t>HB</w:t>
      </w:r>
      <w:proofErr w:type="spellEnd"/>
      <w:r w:rsidR="008A7CE5">
        <w:t xml:space="preserve"> 2329, also intended to strip counties of their customary land use role to make local policy choices consistent with state policy by instead requiring strict compliance with the State’s Wildlife Policy to the satisfaction of the Oregon Department of Fish and Wildlife</w:t>
      </w:r>
      <w:r w:rsidR="00580304">
        <w:t xml:space="preserve">.  </w:t>
      </w:r>
      <w:r w:rsidR="00353D25">
        <w:t>For the reasons described below, it did not.</w:t>
      </w:r>
    </w:p>
    <w:p w14:paraId="08EC1EF8" w14:textId="6B3BC31B" w:rsidR="006E3D0A" w:rsidRPr="003F1625" w:rsidRDefault="005806BF" w:rsidP="001E09D3">
      <w:pPr>
        <w:pStyle w:val="BodyText"/>
      </w:pPr>
      <w:r>
        <w:t xml:space="preserve">In passing </w:t>
      </w:r>
      <w:proofErr w:type="spellStart"/>
      <w:r>
        <w:t>HB</w:t>
      </w:r>
      <w:proofErr w:type="spellEnd"/>
      <w:r>
        <w:t xml:space="preserve"> 2329, the </w:t>
      </w:r>
      <w:r w:rsidR="001E09D3" w:rsidRPr="001935E8">
        <w:t xml:space="preserve">legislature did not task counties with implementing a </w:t>
      </w:r>
      <w:r w:rsidR="001E09D3" w:rsidRPr="00BC543F">
        <w:t>sui generis</w:t>
      </w:r>
      <w:r w:rsidR="001E09D3" w:rsidRPr="001935E8">
        <w:t xml:space="preserve"> decision-making framework.  Rather, </w:t>
      </w:r>
      <w:r w:rsidR="008F767A">
        <w:t>“[a]n a</w:t>
      </w:r>
      <w:r w:rsidR="008F767A" w:rsidRPr="008F767A">
        <w:t xml:space="preserve">pplication for a land use permit to establish a renewable energy facility must </w:t>
      </w:r>
      <w:r w:rsidR="00342894">
        <w:t xml:space="preserve">be made under </w:t>
      </w:r>
      <w:proofErr w:type="spellStart"/>
      <w:r w:rsidR="00342894">
        <w:t>ORS</w:t>
      </w:r>
      <w:proofErr w:type="spellEnd"/>
      <w:r w:rsidR="00342894">
        <w:t xml:space="preserve"> 215.416 </w:t>
      </w:r>
      <w:r w:rsidR="00BF7078">
        <w:t>[</w:t>
      </w:r>
      <w:r w:rsidR="0091572A">
        <w:t>(</w:t>
      </w:r>
      <w:r w:rsidR="00342894">
        <w:t>Permit application</w:t>
      </w:r>
      <w:r w:rsidR="00BF7078">
        <w:t>)</w:t>
      </w:r>
      <w:r w:rsidR="00342894">
        <w:t>]</w:t>
      </w:r>
      <w:r w:rsidR="008F767A" w:rsidRPr="008F767A">
        <w:t>.</w:t>
      </w:r>
      <w:r w:rsidR="008F767A">
        <w:t xml:space="preserve">”  </w:t>
      </w:r>
      <w:proofErr w:type="spellStart"/>
      <w:r w:rsidR="008F767A">
        <w:t>ORS</w:t>
      </w:r>
      <w:proofErr w:type="spellEnd"/>
      <w:r w:rsidR="008F767A">
        <w:t xml:space="preserve"> 215.446(2)</w:t>
      </w:r>
      <w:r w:rsidR="00164358">
        <w:fldChar w:fldCharType="begin"/>
      </w:r>
      <w:r w:rsidR="00164358">
        <w:instrText xml:space="preserve"> TA \s "ORS 215.446(2)" </w:instrText>
      </w:r>
      <w:r w:rsidR="00164358">
        <w:fldChar w:fldCharType="end"/>
      </w:r>
      <w:r w:rsidR="008F767A">
        <w:t>.  In turn, a county necessarily must evaluate such an application</w:t>
      </w:r>
      <w:r w:rsidR="006D1F7C">
        <w:t xml:space="preserve"> within the context of Oregon’s coordinated statewide land use planning system</w:t>
      </w:r>
      <w:r w:rsidR="008F767A">
        <w:t xml:space="preserve">, applying the substantive statutory standards in the process.  </w:t>
      </w:r>
      <w:proofErr w:type="spellStart"/>
      <w:r w:rsidR="001E09D3" w:rsidRPr="001935E8">
        <w:t>ORS</w:t>
      </w:r>
      <w:proofErr w:type="spellEnd"/>
      <w:r w:rsidR="001E09D3" w:rsidRPr="001935E8">
        <w:t xml:space="preserve"> 215.446(2)</w:t>
      </w:r>
      <w:r w:rsidR="008F767A">
        <w:t>–(3)</w:t>
      </w:r>
      <w:r w:rsidR="00A81C3C">
        <w:fldChar w:fldCharType="begin"/>
      </w:r>
      <w:r w:rsidR="00A81C3C">
        <w:instrText xml:space="preserve"> TA \s "ORS 215.446(2)–(3)" </w:instrText>
      </w:r>
      <w:r w:rsidR="00A81C3C">
        <w:fldChar w:fldCharType="end"/>
      </w:r>
      <w:r w:rsidR="001E09D3" w:rsidRPr="001935E8">
        <w:t xml:space="preserve">.  </w:t>
      </w:r>
      <w:r w:rsidR="00BC543F">
        <w:t>Because the l</w:t>
      </w:r>
      <w:r w:rsidR="008F767A">
        <w:t xml:space="preserve">egislature </w:t>
      </w:r>
      <w:r w:rsidR="008F767A">
        <w:lastRenderedPageBreak/>
        <w:t xml:space="preserve">intended for counties to exercise </w:t>
      </w:r>
      <w:r w:rsidR="00CB3358">
        <w:t>discretion and control over mid</w:t>
      </w:r>
      <w:r w:rsidR="00CB3358">
        <w:noBreakHyphen/>
      </w:r>
      <w:r w:rsidR="008F767A">
        <w:t xml:space="preserve">sized Renewable Energy Facilities within the framework of Oregon’s coordinated statewide land use planning system, </w:t>
      </w:r>
      <w:proofErr w:type="spellStart"/>
      <w:r w:rsidR="008F767A">
        <w:t>LUBA</w:t>
      </w:r>
      <w:proofErr w:type="spellEnd"/>
      <w:r w:rsidR="008F767A">
        <w:t xml:space="preserve"> misconstrues </w:t>
      </w:r>
      <w:proofErr w:type="spellStart"/>
      <w:r w:rsidR="008F767A">
        <w:t>ORS</w:t>
      </w:r>
      <w:proofErr w:type="spellEnd"/>
      <w:r w:rsidR="0091572A">
        <w:t> </w:t>
      </w:r>
      <w:r w:rsidR="008F767A">
        <w:t>215.446</w:t>
      </w:r>
      <w:r w:rsidR="0067339D">
        <w:fldChar w:fldCharType="begin"/>
      </w:r>
      <w:r w:rsidR="0067339D">
        <w:instrText xml:space="preserve"> TA \s "ORS 215.446" </w:instrText>
      </w:r>
      <w:r w:rsidR="0067339D">
        <w:fldChar w:fldCharType="end"/>
      </w:r>
      <w:r w:rsidR="008F767A">
        <w:t xml:space="preserve"> in its Opinion and vitiates the clear legislative intent for counties to permit </w:t>
      </w:r>
      <w:r w:rsidR="00342894">
        <w:t>such facilities</w:t>
      </w:r>
      <w:r w:rsidR="008F767A">
        <w:t xml:space="preserve"> as part of their broad planning responsibilities under Oregon law.  </w:t>
      </w:r>
      <w:proofErr w:type="spellStart"/>
      <w:r w:rsidR="008F767A">
        <w:t>LUBA</w:t>
      </w:r>
      <w:r w:rsidR="00884A48">
        <w:t>’s</w:t>
      </w:r>
      <w:proofErr w:type="spellEnd"/>
      <w:r w:rsidR="008F767A">
        <w:t xml:space="preserve"> misinterpr</w:t>
      </w:r>
      <w:r w:rsidR="00884A48">
        <w:t xml:space="preserve">etation of </w:t>
      </w:r>
      <w:proofErr w:type="spellStart"/>
      <w:r w:rsidR="00884A48">
        <w:t>ORS</w:t>
      </w:r>
      <w:proofErr w:type="spellEnd"/>
      <w:r w:rsidR="00884A48">
        <w:t xml:space="preserve"> 215.446</w:t>
      </w:r>
      <w:r w:rsidR="00164358">
        <w:fldChar w:fldCharType="begin"/>
      </w:r>
      <w:r w:rsidR="00164358">
        <w:instrText xml:space="preserve"> TA \s "ORS 215.446" </w:instrText>
      </w:r>
      <w:r w:rsidR="00164358">
        <w:fldChar w:fldCharType="end"/>
      </w:r>
      <w:r w:rsidR="00884A48">
        <w:t xml:space="preserve"> and application of </w:t>
      </w:r>
      <w:r w:rsidR="008F767A">
        <w:t xml:space="preserve">an incorrect legal standard </w:t>
      </w:r>
      <w:r w:rsidR="00884A48">
        <w:t>is incompatible</w:t>
      </w:r>
      <w:r w:rsidR="008F767A">
        <w:t xml:space="preserve"> with Oregon land use and renewabl</w:t>
      </w:r>
      <w:r w:rsidR="00342894">
        <w:t>e</w:t>
      </w:r>
      <w:r w:rsidR="008F767A">
        <w:t xml:space="preserve"> ene</w:t>
      </w:r>
      <w:r w:rsidR="00BC543F">
        <w:t>rgy policy (as codified by the l</w:t>
      </w:r>
      <w:r w:rsidR="008F767A">
        <w:t>egislature</w:t>
      </w:r>
      <w:r w:rsidR="00884A48">
        <w:t>)</w:t>
      </w:r>
      <w:r w:rsidR="00342894">
        <w:t xml:space="preserve"> and overthrows the intent of the legislation to provide a more flexible and timely permitting process for mid-sized Renewable Energy Facilities</w:t>
      </w:r>
      <w:r w:rsidR="00884A48">
        <w:t xml:space="preserve">. </w:t>
      </w:r>
      <w:r w:rsidR="00342894">
        <w:t xml:space="preserve"> </w:t>
      </w:r>
      <w:r w:rsidR="00884A48">
        <w:t>Accordingly</w:t>
      </w:r>
      <w:r w:rsidR="008F767A">
        <w:t xml:space="preserve">, the Opinion should be reversed and the matter remanded to </w:t>
      </w:r>
      <w:proofErr w:type="spellStart"/>
      <w:r w:rsidR="008F767A">
        <w:t>LUBA</w:t>
      </w:r>
      <w:proofErr w:type="spellEnd"/>
      <w:r w:rsidR="008F767A">
        <w:t xml:space="preserve"> with instructions to </w:t>
      </w:r>
      <w:r w:rsidR="00884A48">
        <w:t>apply the correct legal standard.</w:t>
      </w:r>
    </w:p>
    <w:p w14:paraId="656CB961" w14:textId="77777777" w:rsidR="006E3D0A" w:rsidRPr="003F1625" w:rsidRDefault="006E3D0A" w:rsidP="001935E8">
      <w:pPr>
        <w:pStyle w:val="Heading2"/>
      </w:pPr>
      <w:bookmarkStart w:id="7" w:name="_Toc78292819"/>
      <w:r w:rsidRPr="003F1625">
        <w:t>Statement of Facts</w:t>
      </w:r>
      <w:bookmarkEnd w:id="7"/>
    </w:p>
    <w:p w14:paraId="17109B4D" w14:textId="77777777" w:rsidR="006E3D0A" w:rsidRPr="003F1625" w:rsidRDefault="00D57454" w:rsidP="007F16EB">
      <w:pPr>
        <w:pStyle w:val="BodyText"/>
      </w:pPr>
      <w:proofErr w:type="spellStart"/>
      <w:r>
        <w:t>CREA</w:t>
      </w:r>
      <w:proofErr w:type="spellEnd"/>
      <w:r>
        <w:t xml:space="preserve"> accepts the </w:t>
      </w:r>
      <w:r w:rsidR="00CD30A3">
        <w:t>statements</w:t>
      </w:r>
      <w:r>
        <w:t xml:space="preserve"> of fact</w:t>
      </w:r>
      <w:r w:rsidR="00C74B31">
        <w:t xml:space="preserve"> by West Prineville Solar and the County</w:t>
      </w:r>
      <w:r>
        <w:t>.</w:t>
      </w:r>
    </w:p>
    <w:p w14:paraId="7322A360" w14:textId="77777777" w:rsidR="00CC5472" w:rsidRPr="001935E8" w:rsidRDefault="00CC5472" w:rsidP="001935E8">
      <w:pPr>
        <w:pStyle w:val="Heading1"/>
      </w:pPr>
      <w:bookmarkStart w:id="8" w:name="_Toc78292820"/>
      <w:r w:rsidRPr="001935E8">
        <w:t>ARGUMENT</w:t>
      </w:r>
      <w:bookmarkEnd w:id="8"/>
    </w:p>
    <w:p w14:paraId="12E281E1" w14:textId="77777777" w:rsidR="005C50F1" w:rsidRDefault="005C50F1" w:rsidP="003C6061">
      <w:pPr>
        <w:pStyle w:val="Heading2"/>
      </w:pPr>
      <w:bookmarkStart w:id="9" w:name="_Toc78292821"/>
      <w:r>
        <w:t xml:space="preserve">Oregon Counties </w:t>
      </w:r>
      <w:r w:rsidR="003C6061">
        <w:t xml:space="preserve">Have a Central Role in Oregon’s </w:t>
      </w:r>
      <w:r>
        <w:t>Coordinated Statewide Land Use Planning System</w:t>
      </w:r>
      <w:r w:rsidR="003C6061">
        <w:t>.</w:t>
      </w:r>
      <w:bookmarkEnd w:id="9"/>
    </w:p>
    <w:p w14:paraId="169D4CB6" w14:textId="33DFEBFB" w:rsidR="002E1CD6" w:rsidRPr="005C50F1" w:rsidRDefault="002E1CD6" w:rsidP="007F16EB">
      <w:pPr>
        <w:pStyle w:val="BodyText"/>
      </w:pPr>
      <w:r w:rsidRPr="005C50F1">
        <w:t xml:space="preserve">Oregon’s coordinated statewide land use planning </w:t>
      </w:r>
      <w:r w:rsidR="007B5940">
        <w:t xml:space="preserve">system </w:t>
      </w:r>
      <w:r w:rsidRPr="005C50F1">
        <w:t xml:space="preserve">began in 1969.  </w:t>
      </w:r>
      <w:r w:rsidRPr="005C50F1">
        <w:rPr>
          <w:rStyle w:val="Italic"/>
        </w:rPr>
        <w:t>1000 Friends of Oregon v. Wasco County Court</w:t>
      </w:r>
      <w:r w:rsidRPr="005C50F1">
        <w:t>, 299 Or 344, 347, 703 P2d 207 (1985)</w:t>
      </w:r>
      <w:r w:rsidR="00164358">
        <w:fldChar w:fldCharType="begin"/>
      </w:r>
      <w:r w:rsidR="00164358">
        <w:instrText xml:space="preserve"> TA \l "</w:instrText>
      </w:r>
      <w:r w:rsidR="00164358" w:rsidRPr="00965CCC">
        <w:rPr>
          <w:rStyle w:val="Italic"/>
        </w:rPr>
        <w:instrText>1000 Friends of Oregon v. Wasco County Court</w:instrText>
      </w:r>
      <w:r w:rsidR="00164358" w:rsidRPr="00965CCC">
        <w:instrText>, 299 Or 344, 703 P2d 207 (1985)</w:instrText>
      </w:r>
      <w:r w:rsidR="00164358">
        <w:instrText xml:space="preserve">" \s "1000 Friends of Oregon v. Wasco County Court, 299 </w:instrText>
      </w:r>
      <w:r w:rsidR="00164358">
        <w:lastRenderedPageBreak/>
        <w:instrText xml:space="preserve">Or 344, 347, 703 P2d 207 (1985)" \c 1 </w:instrText>
      </w:r>
      <w:r w:rsidR="00164358">
        <w:fldChar w:fldCharType="end"/>
      </w:r>
      <w:r w:rsidRPr="005C50F1">
        <w:t xml:space="preserve">.  By 1973, the legislature had passed Senate Bill 100, which is codified at </w:t>
      </w:r>
      <w:proofErr w:type="spellStart"/>
      <w:r w:rsidRPr="005C50F1">
        <w:t>ORS</w:t>
      </w:r>
      <w:proofErr w:type="spellEnd"/>
      <w:r w:rsidRPr="005C50F1">
        <w:t xml:space="preserve"> chapter 197.  </w:t>
      </w:r>
      <w:r w:rsidRPr="005C50F1">
        <w:rPr>
          <w:rStyle w:val="Italic"/>
        </w:rPr>
        <w:t>Id.</w:t>
      </w:r>
      <w:r w:rsidRPr="005C50F1">
        <w:t xml:space="preserve">  Senate Bill 100 sprang from legislative concern that “state intervention was needed to stop a process of cumulative public harm resulting from uncoordinated land use.”  </w:t>
      </w:r>
      <w:r w:rsidRPr="005C50F1">
        <w:rPr>
          <w:rStyle w:val="Italic"/>
        </w:rPr>
        <w:t>Id.</w:t>
      </w:r>
      <w:r w:rsidRPr="005C50F1">
        <w:t xml:space="preserve">; </w:t>
      </w:r>
      <w:r w:rsidRPr="005C50F1">
        <w:rPr>
          <w:rStyle w:val="Italic"/>
        </w:rPr>
        <w:t xml:space="preserve">see also </w:t>
      </w:r>
      <w:proofErr w:type="spellStart"/>
      <w:r w:rsidRPr="005C50F1">
        <w:t>ORS</w:t>
      </w:r>
      <w:proofErr w:type="spellEnd"/>
      <w:r w:rsidRPr="005C50F1">
        <w:t> 197.005</w:t>
      </w:r>
      <w:r w:rsidR="00C263C2">
        <w:fldChar w:fldCharType="begin"/>
      </w:r>
      <w:r w:rsidR="00C263C2">
        <w:instrText xml:space="preserve"> TA \l "</w:instrText>
      </w:r>
      <w:r w:rsidR="00C263C2" w:rsidRPr="00965CCC">
        <w:instrText>ORS 197.005</w:instrText>
      </w:r>
      <w:r w:rsidR="00C263C2">
        <w:instrText xml:space="preserve">" \s "ORS 197.005" \c 2 </w:instrText>
      </w:r>
      <w:r w:rsidR="00C263C2">
        <w:fldChar w:fldCharType="end"/>
      </w:r>
      <w:r w:rsidRPr="005C50F1">
        <w:t xml:space="preserve"> (legislative findings); </w:t>
      </w:r>
      <w:proofErr w:type="spellStart"/>
      <w:r w:rsidRPr="005C50F1">
        <w:t>ORS</w:t>
      </w:r>
      <w:proofErr w:type="spellEnd"/>
      <w:r w:rsidRPr="005C50F1">
        <w:t xml:space="preserve"> 197.010</w:t>
      </w:r>
      <w:r w:rsidR="00C263C2">
        <w:fldChar w:fldCharType="begin"/>
      </w:r>
      <w:r w:rsidR="00C263C2">
        <w:instrText xml:space="preserve"> TA \l "</w:instrText>
      </w:r>
      <w:r w:rsidR="00C263C2" w:rsidRPr="00965CCC">
        <w:instrText>ORS 197.010</w:instrText>
      </w:r>
      <w:r w:rsidR="00C263C2">
        <w:instrText xml:space="preserve">" \s "ORS 197.010" \c 2 </w:instrText>
      </w:r>
      <w:r w:rsidR="00C263C2">
        <w:fldChar w:fldCharType="end"/>
      </w:r>
      <w:r w:rsidRPr="005C50F1">
        <w:t xml:space="preserve"> (policy).</w:t>
      </w:r>
    </w:p>
    <w:p w14:paraId="2B94AFE5" w14:textId="01BD409A" w:rsidR="002E1CD6" w:rsidRPr="005C50F1" w:rsidRDefault="002E1CD6" w:rsidP="007F16EB">
      <w:pPr>
        <w:pStyle w:val="BodyText"/>
      </w:pPr>
      <w:r w:rsidRPr="005C50F1">
        <w:t xml:space="preserve">The intent of Senate Bill 100 was to </w:t>
      </w:r>
      <w:r w:rsidR="001E09D3">
        <w:t>institute a “</w:t>
      </w:r>
      <w:r w:rsidRPr="005C50F1">
        <w:t>systematic decisional process</w:t>
      </w:r>
      <w:r w:rsidR="001E09D3">
        <w:t>”</w:t>
      </w:r>
      <w:r w:rsidRPr="005C50F1">
        <w:t xml:space="preserve"> </w:t>
      </w:r>
      <w:r w:rsidR="008C09E4">
        <w:t>(</w:t>
      </w:r>
      <w:r w:rsidR="008C09E4" w:rsidRPr="005C50F1">
        <w:rPr>
          <w:rStyle w:val="Italic"/>
        </w:rPr>
        <w:t xml:space="preserve">1000 Friends </w:t>
      </w:r>
      <w:r w:rsidR="008C09E4">
        <w:rPr>
          <w:rStyle w:val="Italic"/>
        </w:rPr>
        <w:t xml:space="preserve">(Wasco </w:t>
      </w:r>
      <w:r w:rsidR="003A1961">
        <w:rPr>
          <w:rStyle w:val="Italic"/>
        </w:rPr>
        <w:t>Co.</w:t>
      </w:r>
      <w:r w:rsidR="008C09E4">
        <w:rPr>
          <w:rStyle w:val="Italic"/>
        </w:rPr>
        <w:t>)</w:t>
      </w:r>
      <w:r w:rsidR="008C09E4" w:rsidRPr="005C50F1">
        <w:t xml:space="preserve">, 299 Or </w:t>
      </w:r>
      <w:r w:rsidR="003A1961">
        <w:t>at 347</w:t>
      </w:r>
      <w:r w:rsidR="00C263C2">
        <w:fldChar w:fldCharType="begin"/>
      </w:r>
      <w:r w:rsidR="00C263C2">
        <w:instrText xml:space="preserve"> TA \s "1000 Friends of Oregon v. Wasco County Court, 299 Or 344, 347, 703 P2d 207 (1985)" </w:instrText>
      </w:r>
      <w:r w:rsidR="00C263C2">
        <w:fldChar w:fldCharType="end"/>
      </w:r>
      <w:r w:rsidR="008C09E4">
        <w:t xml:space="preserve">) </w:t>
      </w:r>
      <w:r w:rsidR="001E09D3">
        <w:t xml:space="preserve">within which “cities and counties * * * remain as the agencies to consider, promote and manage the local aspects of land conservation and development </w:t>
      </w:r>
      <w:r w:rsidR="008C09E4">
        <w:t xml:space="preserve">for </w:t>
      </w:r>
      <w:r w:rsidR="001E09D3">
        <w:t>the best interest</w:t>
      </w:r>
      <w:r w:rsidR="008C09E4">
        <w:t>s</w:t>
      </w:r>
      <w:r w:rsidR="001E09D3">
        <w:t xml:space="preserve"> of the people within their jurisdictions.”  </w:t>
      </w:r>
      <w:proofErr w:type="spellStart"/>
      <w:r w:rsidR="001E09D3">
        <w:t>ORS</w:t>
      </w:r>
      <w:proofErr w:type="spellEnd"/>
      <w:r w:rsidR="001E09D3">
        <w:t xml:space="preserve"> 197.005(3)</w:t>
      </w:r>
      <w:r w:rsidR="001D5627">
        <w:fldChar w:fldCharType="begin"/>
      </w:r>
      <w:r w:rsidR="001D5627">
        <w:instrText xml:space="preserve"> TA \s "ORS 197.005" </w:instrText>
      </w:r>
      <w:r w:rsidR="001D5627">
        <w:fldChar w:fldCharType="end"/>
      </w:r>
      <w:r w:rsidRPr="005C50F1">
        <w:rPr>
          <w:rStyle w:val="Italic"/>
        </w:rPr>
        <w:t>.</w:t>
      </w:r>
      <w:r w:rsidRPr="005C50F1">
        <w:t xml:space="preserve">  That systematic decisional process depends on “consideration of all relevant facts, affected interests and public policies.”  </w:t>
      </w:r>
      <w:r w:rsidRPr="005C50F1">
        <w:rPr>
          <w:rStyle w:val="Italic"/>
        </w:rPr>
        <w:t xml:space="preserve">1000 Friends of Oregon v. </w:t>
      </w:r>
      <w:proofErr w:type="spellStart"/>
      <w:r w:rsidRPr="005C50F1">
        <w:rPr>
          <w:rStyle w:val="Italic"/>
        </w:rPr>
        <w:t>LCDC</w:t>
      </w:r>
      <w:proofErr w:type="spellEnd"/>
      <w:r w:rsidRPr="005C50F1">
        <w:rPr>
          <w:rStyle w:val="Italic"/>
        </w:rPr>
        <w:t xml:space="preserve"> (Curry Co.)</w:t>
      </w:r>
      <w:r w:rsidRPr="005C50F1">
        <w:t>, 301 Or 447, 451, 724 P2d 268 (1986)</w:t>
      </w:r>
      <w:r w:rsidR="00C263C2">
        <w:fldChar w:fldCharType="begin"/>
      </w:r>
      <w:r w:rsidR="00C263C2">
        <w:instrText xml:space="preserve"> TA \l "</w:instrText>
      </w:r>
      <w:r w:rsidR="00C263C2" w:rsidRPr="00965CCC">
        <w:rPr>
          <w:rStyle w:val="Italic"/>
        </w:rPr>
        <w:instrText>1000 Friends of Oregon v. LCDC (Curry Co.)</w:instrText>
      </w:r>
      <w:r w:rsidR="00C263C2" w:rsidRPr="00965CCC">
        <w:instrText>, 301 Or 447, 724 P2d 268 (1986)</w:instrText>
      </w:r>
      <w:r w:rsidR="00C263C2">
        <w:instrText xml:space="preserve">" \s "1000 Friends of Oregon v. LCDC (Curry Co.), 301 Or 447, 451, 724 P2d 268 (1986)" \c 1 </w:instrText>
      </w:r>
      <w:r w:rsidR="00C263C2">
        <w:fldChar w:fldCharType="end"/>
      </w:r>
      <w:r w:rsidRPr="005C50F1">
        <w:t xml:space="preserve"> (internal quotation marks omitted)</w:t>
      </w:r>
      <w:r w:rsidRPr="005C50F1">
        <w:rPr>
          <w:rStyle w:val="Italic"/>
        </w:rPr>
        <w:t>.</w:t>
      </w:r>
    </w:p>
    <w:p w14:paraId="022CAC80" w14:textId="77FC877C" w:rsidR="004103AB" w:rsidRPr="005C50F1" w:rsidRDefault="004103AB" w:rsidP="008035A1">
      <w:pPr>
        <w:pStyle w:val="BodyText"/>
      </w:pPr>
      <w:r w:rsidRPr="005C50F1">
        <w:t xml:space="preserve">Senate Bill 100 created the Department of Land Conservation and Development </w:t>
      </w:r>
      <w:r w:rsidR="008C09E4">
        <w:t>(the “Department”</w:t>
      </w:r>
      <w:r w:rsidRPr="005C50F1">
        <w:t xml:space="preserve">) and the Land Conservation and Development </w:t>
      </w:r>
      <w:r w:rsidRPr="005C50F1">
        <w:lastRenderedPageBreak/>
        <w:t>Commission (“</w:t>
      </w:r>
      <w:proofErr w:type="spellStart"/>
      <w:r w:rsidRPr="005C50F1">
        <w:t>LCDC</w:t>
      </w:r>
      <w:proofErr w:type="spellEnd"/>
      <w:r w:rsidRPr="005C50F1">
        <w:t xml:space="preserve">”).  </w:t>
      </w:r>
      <w:r w:rsidRPr="005C50F1">
        <w:rPr>
          <w:rStyle w:val="Italic"/>
        </w:rPr>
        <w:t>1000 Friends (Curry Co.)</w:t>
      </w:r>
      <w:r w:rsidR="001D5627">
        <w:rPr>
          <w:rStyle w:val="Italic"/>
        </w:rPr>
        <w:fldChar w:fldCharType="begin"/>
      </w:r>
      <w:r w:rsidR="001D5627">
        <w:instrText xml:space="preserve"> TA \s "1000 Friends of Oregon v. LCDC (Curry Co.), 301 Or 447, 451, 724 P2d 268 (1986)" </w:instrText>
      </w:r>
      <w:r w:rsidR="001D5627">
        <w:rPr>
          <w:rStyle w:val="Italic"/>
        </w:rPr>
        <w:fldChar w:fldCharType="end"/>
      </w:r>
      <w:r w:rsidRPr="005C50F1">
        <w:rPr>
          <w:rStyle w:val="Italic"/>
          <w:i w:val="0"/>
        </w:rPr>
        <w:t>, 301 Or at</w:t>
      </w:r>
      <w:r w:rsidRPr="005C50F1">
        <w:t xml:space="preserve"> 451</w:t>
      </w:r>
      <w:r w:rsidR="008C09E4">
        <w:t>–</w:t>
      </w:r>
      <w:r w:rsidRPr="005C50F1">
        <w:t xml:space="preserve">52.  The legislature directed </w:t>
      </w:r>
      <w:r w:rsidR="008C09E4">
        <w:t>the Department</w:t>
      </w:r>
      <w:r w:rsidR="008C09E4" w:rsidRPr="005C50F1">
        <w:t xml:space="preserve"> </w:t>
      </w:r>
      <w:r w:rsidRPr="005C50F1">
        <w:t xml:space="preserve">to </w:t>
      </w:r>
      <w:r w:rsidR="008C09E4">
        <w:t>develop</w:t>
      </w:r>
      <w:r w:rsidRPr="005C50F1">
        <w:t xml:space="preserve">, and </w:t>
      </w:r>
      <w:proofErr w:type="spellStart"/>
      <w:r w:rsidRPr="005C50F1">
        <w:t>LCDC</w:t>
      </w:r>
      <w:proofErr w:type="spellEnd"/>
      <w:r w:rsidRPr="005C50F1">
        <w:t xml:space="preserve"> to adopt, “goals and guidelines” for use by “state agencies, local governments, and special districts” in connection with “preparing, adopting, amending and implementing” comprehensive plans.  </w:t>
      </w:r>
      <w:proofErr w:type="spellStart"/>
      <w:r w:rsidRPr="005C50F1">
        <w:t>ORS</w:t>
      </w:r>
      <w:proofErr w:type="spellEnd"/>
      <w:r w:rsidRPr="005C50F1">
        <w:t> 197.225.  “Goals” are statutorily</w:t>
      </w:r>
      <w:r w:rsidR="008C09E4">
        <w:t>-</w:t>
      </w:r>
      <w:r w:rsidRPr="005C50F1">
        <w:t xml:space="preserve">defined as “mandatory statewide land use planning standards” adopted by </w:t>
      </w:r>
      <w:proofErr w:type="spellStart"/>
      <w:r w:rsidRPr="005C50F1">
        <w:t>LCDC</w:t>
      </w:r>
      <w:proofErr w:type="spellEnd"/>
      <w:r w:rsidRPr="005C50F1">
        <w:t xml:space="preserve">.  </w:t>
      </w:r>
      <w:proofErr w:type="spellStart"/>
      <w:r w:rsidRPr="005C50F1">
        <w:t>ORS</w:t>
      </w:r>
      <w:proofErr w:type="spellEnd"/>
      <w:r w:rsidRPr="005C50F1">
        <w:t> 197.015(8)</w:t>
      </w:r>
      <w:r w:rsidR="001D5627">
        <w:fldChar w:fldCharType="begin"/>
      </w:r>
      <w:r w:rsidR="001D5627">
        <w:instrText xml:space="preserve"> TA \l "</w:instrText>
      </w:r>
      <w:r w:rsidR="001D5627" w:rsidRPr="00965CCC">
        <w:instrText>ORS 197.015(8)</w:instrText>
      </w:r>
      <w:r w:rsidR="001D5627">
        <w:instrText xml:space="preserve">" \s "ORS 197.015(8)" \c 2 </w:instrText>
      </w:r>
      <w:r w:rsidR="001D5627">
        <w:fldChar w:fldCharType="end"/>
      </w:r>
      <w:r w:rsidRPr="005C50F1">
        <w:t xml:space="preserve">.  </w:t>
      </w:r>
      <w:proofErr w:type="spellStart"/>
      <w:r w:rsidRPr="005C50F1">
        <w:t>LCDC</w:t>
      </w:r>
      <w:proofErr w:type="spellEnd"/>
      <w:r w:rsidRPr="005C50F1">
        <w:t xml:space="preserve"> has adopted 19 Statewide Planning Goals, which are rules within the meaning of the Administrative Procedures Act.  </w:t>
      </w:r>
      <w:r w:rsidRPr="005C50F1">
        <w:rPr>
          <w:rStyle w:val="Italic"/>
        </w:rPr>
        <w:t xml:space="preserve">See </w:t>
      </w:r>
      <w:proofErr w:type="spellStart"/>
      <w:r w:rsidR="008C09E4">
        <w:rPr>
          <w:rStyle w:val="Italic"/>
          <w:i w:val="0"/>
        </w:rPr>
        <w:t>ORS</w:t>
      </w:r>
      <w:proofErr w:type="spellEnd"/>
      <w:r w:rsidR="008C09E4">
        <w:rPr>
          <w:rStyle w:val="Italic"/>
          <w:i w:val="0"/>
        </w:rPr>
        <w:t xml:space="preserve"> 183.310(9)</w:t>
      </w:r>
      <w:r w:rsidR="001D5627">
        <w:rPr>
          <w:rStyle w:val="Italic"/>
          <w:i w:val="0"/>
        </w:rPr>
        <w:fldChar w:fldCharType="begin"/>
      </w:r>
      <w:r w:rsidR="001D5627">
        <w:instrText xml:space="preserve"> TA \l "</w:instrText>
      </w:r>
      <w:r w:rsidR="001D5627" w:rsidRPr="00965CCC">
        <w:rPr>
          <w:rStyle w:val="Italic"/>
          <w:i w:val="0"/>
        </w:rPr>
        <w:instrText>ORS 183.310(9)</w:instrText>
      </w:r>
      <w:r w:rsidR="001D5627">
        <w:instrText xml:space="preserve">" \s "ORS 183.310(9)" \c 2 </w:instrText>
      </w:r>
      <w:r w:rsidR="001D5627">
        <w:rPr>
          <w:rStyle w:val="Italic"/>
          <w:i w:val="0"/>
        </w:rPr>
        <w:fldChar w:fldCharType="end"/>
      </w:r>
      <w:r w:rsidRPr="005C50F1">
        <w:t>.  Many of</w:t>
      </w:r>
      <w:r w:rsidR="00B7585A">
        <w:t xml:space="preserve"> </w:t>
      </w:r>
      <w:proofErr w:type="spellStart"/>
      <w:r w:rsidR="00B7585A">
        <w:t>LCDC’s</w:t>
      </w:r>
      <w:proofErr w:type="spellEnd"/>
      <w:r w:rsidR="00B7585A">
        <w:t xml:space="preserve"> statewide </w:t>
      </w:r>
      <w:r w:rsidRPr="005C50F1">
        <w:t xml:space="preserve">goals are accompanied by guidelines addressing “planning” and “implementation.”  </w:t>
      </w:r>
      <w:r w:rsidRPr="005C50F1">
        <w:rPr>
          <w:rStyle w:val="Italic"/>
        </w:rPr>
        <w:t>1000</w:t>
      </w:r>
      <w:r w:rsidR="001935E8">
        <w:rPr>
          <w:rStyle w:val="Italic"/>
        </w:rPr>
        <w:t> </w:t>
      </w:r>
      <w:r w:rsidRPr="005C50F1">
        <w:rPr>
          <w:rStyle w:val="Italic"/>
        </w:rPr>
        <w:t>Friends</w:t>
      </w:r>
      <w:r w:rsidRPr="005C50F1">
        <w:t xml:space="preserve"> </w:t>
      </w:r>
      <w:r w:rsidRPr="005C50F1">
        <w:rPr>
          <w:rStyle w:val="Italic"/>
        </w:rPr>
        <w:t>(Curry Co.)</w:t>
      </w:r>
      <w:r w:rsidR="001D5627">
        <w:rPr>
          <w:rStyle w:val="Italic"/>
        </w:rPr>
        <w:fldChar w:fldCharType="begin"/>
      </w:r>
      <w:r w:rsidR="001D5627">
        <w:instrText xml:space="preserve"> TA \s "1000 Friends of Oregon v. LCDC (Curry Co.), 301 Or 447, 451, 724 P2d 268 (1986)" </w:instrText>
      </w:r>
      <w:r w:rsidR="001D5627">
        <w:rPr>
          <w:rStyle w:val="Italic"/>
        </w:rPr>
        <w:fldChar w:fldCharType="end"/>
      </w:r>
      <w:r w:rsidRPr="005C50F1">
        <w:t>, 301 Or at 452.</w:t>
      </w:r>
      <w:r w:rsidR="00B7585A">
        <w:t xml:space="preserve"> </w:t>
      </w:r>
      <w:r w:rsidR="00B7585A" w:rsidRPr="005C50F1">
        <w:t>“Guidelines” are “suggested approaches designed to aid” cities, counties, state agencies, and special districts in carrying out the</w:t>
      </w:r>
      <w:r w:rsidR="00B7585A">
        <w:t>se</w:t>
      </w:r>
      <w:r w:rsidR="00B7585A" w:rsidRPr="005C50F1">
        <w:t xml:space="preserve"> goals.  </w:t>
      </w:r>
      <w:proofErr w:type="spellStart"/>
      <w:r w:rsidR="00B7585A" w:rsidRPr="005C50F1">
        <w:t>ORS</w:t>
      </w:r>
      <w:proofErr w:type="spellEnd"/>
      <w:r w:rsidR="00B7585A" w:rsidRPr="005C50F1">
        <w:t xml:space="preserve"> 197.015(9)</w:t>
      </w:r>
      <w:r w:rsidR="001D5627">
        <w:fldChar w:fldCharType="begin"/>
      </w:r>
      <w:r w:rsidR="001D5627">
        <w:instrText xml:space="preserve"> TA \l "</w:instrText>
      </w:r>
      <w:r w:rsidR="001D5627" w:rsidRPr="00965CCC">
        <w:instrText>ORS 197.015(9)</w:instrText>
      </w:r>
      <w:r w:rsidR="001D5627">
        <w:instrText xml:space="preserve">" \s "ORS 197.015(9)" \c 2 </w:instrText>
      </w:r>
      <w:r w:rsidR="001D5627">
        <w:fldChar w:fldCharType="end"/>
      </w:r>
      <w:r w:rsidR="00B7585A" w:rsidRPr="005C50F1">
        <w:t xml:space="preserve">; </w:t>
      </w:r>
      <w:r w:rsidR="00B7585A" w:rsidRPr="005C50F1">
        <w:rPr>
          <w:rStyle w:val="Italic"/>
        </w:rPr>
        <w:t>1000 Friends</w:t>
      </w:r>
      <w:r w:rsidR="00B7585A" w:rsidRPr="005C50F1">
        <w:t xml:space="preserve"> </w:t>
      </w:r>
      <w:r w:rsidR="00B7585A" w:rsidRPr="005C50F1">
        <w:rPr>
          <w:rStyle w:val="Italic"/>
        </w:rPr>
        <w:t>(Curry Co.)</w:t>
      </w:r>
      <w:r w:rsidR="00B7585A">
        <w:t>, 301 Or at 452.</w:t>
      </w:r>
    </w:p>
    <w:p w14:paraId="06E268D8" w14:textId="6688FA44" w:rsidR="004103AB" w:rsidRDefault="004103AB" w:rsidP="007F16EB">
      <w:pPr>
        <w:pStyle w:val="BodyText"/>
      </w:pPr>
      <w:r w:rsidRPr="005C50F1">
        <w:t xml:space="preserve">After </w:t>
      </w:r>
      <w:proofErr w:type="spellStart"/>
      <w:r w:rsidRPr="005C50F1">
        <w:t>LCDC</w:t>
      </w:r>
      <w:proofErr w:type="spellEnd"/>
      <w:r w:rsidRPr="005C50F1">
        <w:t xml:space="preserve"> adopted </w:t>
      </w:r>
      <w:r w:rsidR="00B7585A">
        <w:t>the statewide</w:t>
      </w:r>
      <w:r w:rsidR="00B7585A" w:rsidRPr="005C50F1">
        <w:t xml:space="preserve"> </w:t>
      </w:r>
      <w:r w:rsidRPr="005C50F1">
        <w:t>goals, local governments were required to prepare comprehensive plans that complied with the</w:t>
      </w:r>
      <w:r w:rsidR="00B7585A">
        <w:t>se</w:t>
      </w:r>
      <w:r w:rsidRPr="005C50F1">
        <w:t xml:space="preserve"> goals.  </w:t>
      </w:r>
      <w:r w:rsidR="00B7585A" w:rsidRPr="005C50F1">
        <w:rPr>
          <w:rStyle w:val="Italic"/>
        </w:rPr>
        <w:t>1000 Friends</w:t>
      </w:r>
      <w:r w:rsidR="00B7585A" w:rsidRPr="005C50F1">
        <w:t xml:space="preserve"> </w:t>
      </w:r>
      <w:r w:rsidR="00B7585A" w:rsidRPr="005C50F1">
        <w:rPr>
          <w:rStyle w:val="Italic"/>
        </w:rPr>
        <w:t>(Curry Co.)</w:t>
      </w:r>
      <w:r w:rsidR="001D5627">
        <w:rPr>
          <w:rStyle w:val="Italic"/>
        </w:rPr>
        <w:fldChar w:fldCharType="begin"/>
      </w:r>
      <w:r w:rsidR="001D5627">
        <w:instrText xml:space="preserve"> TA \s "1000 Friends of Oregon v. LCDC (Curry Co.), 301 </w:instrText>
      </w:r>
      <w:r w:rsidR="001D5627">
        <w:lastRenderedPageBreak/>
        <w:instrText xml:space="preserve">Or 447, 451, 724 P2d 268 (1986)" </w:instrText>
      </w:r>
      <w:r w:rsidR="001D5627">
        <w:rPr>
          <w:rStyle w:val="Italic"/>
        </w:rPr>
        <w:fldChar w:fldCharType="end"/>
      </w:r>
      <w:r w:rsidR="00B7585A">
        <w:t>, 301 Or at 452</w:t>
      </w:r>
      <w:r w:rsidRPr="005C50F1">
        <w:t xml:space="preserve">; </w:t>
      </w:r>
      <w:proofErr w:type="spellStart"/>
      <w:r w:rsidRPr="005C50F1">
        <w:t>ORS</w:t>
      </w:r>
      <w:proofErr w:type="spellEnd"/>
      <w:r w:rsidRPr="005C50F1">
        <w:t xml:space="preserve"> 197.175(2)(a).  Each local government could then request </w:t>
      </w:r>
      <w:r w:rsidR="00C01FB5">
        <w:t xml:space="preserve">that </w:t>
      </w:r>
      <w:proofErr w:type="spellStart"/>
      <w:r w:rsidRPr="005C50F1">
        <w:t>LCDC</w:t>
      </w:r>
      <w:proofErr w:type="spellEnd"/>
      <w:r w:rsidRPr="005C50F1">
        <w:t xml:space="preserve"> </w:t>
      </w:r>
      <w:r w:rsidR="00C01FB5">
        <w:t>review and “</w:t>
      </w:r>
      <w:r w:rsidRPr="005C50F1">
        <w:t>acknowledge</w:t>
      </w:r>
      <w:r w:rsidR="00C01FB5">
        <w:t>”</w:t>
      </w:r>
      <w:r w:rsidRPr="005C50F1">
        <w:t xml:space="preserve"> a comprehensive plan’s compliance with the goals.  </w:t>
      </w:r>
      <w:proofErr w:type="spellStart"/>
      <w:r w:rsidRPr="005C50F1">
        <w:t>ORS</w:t>
      </w:r>
      <w:proofErr w:type="spellEnd"/>
      <w:r w:rsidRPr="005C50F1">
        <w:t> 197.251(1)</w:t>
      </w:r>
      <w:r w:rsidR="001D5627">
        <w:fldChar w:fldCharType="begin"/>
      </w:r>
      <w:r w:rsidR="001D5627">
        <w:instrText xml:space="preserve"> TA \l "</w:instrText>
      </w:r>
      <w:r w:rsidR="001D5627" w:rsidRPr="00965CCC">
        <w:instrText>ORS 197.251(1)</w:instrText>
      </w:r>
      <w:r w:rsidR="001D5627">
        <w:instrText xml:space="preserve">" \s "ORS 197.251(1)" \c 2 </w:instrText>
      </w:r>
      <w:r w:rsidR="001D5627">
        <w:fldChar w:fldCharType="end"/>
      </w:r>
      <w:r w:rsidRPr="005C50F1">
        <w:t xml:space="preserve">.  Once a comprehensive plan is acknowledged, the local government must make land use decisions in compliance with the acknowledged plan.  </w:t>
      </w:r>
      <w:proofErr w:type="spellStart"/>
      <w:r w:rsidRPr="005C50F1">
        <w:t>ORS</w:t>
      </w:r>
      <w:proofErr w:type="spellEnd"/>
      <w:r w:rsidRPr="005C50F1">
        <w:t> 197.175(2)(c)</w:t>
      </w:r>
      <w:r w:rsidR="001D5627">
        <w:fldChar w:fldCharType="begin"/>
      </w:r>
      <w:r w:rsidR="001D5627">
        <w:instrText xml:space="preserve"> TA \l "</w:instrText>
      </w:r>
      <w:r w:rsidR="001D5627" w:rsidRPr="00965CCC">
        <w:instrText>ORS 197.175(2)(c)</w:instrText>
      </w:r>
      <w:r w:rsidR="001D5627">
        <w:instrText xml:space="preserve">" \s "ORS 197.175(2)(c)" \c 2 </w:instrText>
      </w:r>
      <w:r w:rsidR="001D5627">
        <w:fldChar w:fldCharType="end"/>
      </w:r>
      <w:r w:rsidRPr="005C50F1">
        <w:t xml:space="preserve">; </w:t>
      </w:r>
      <w:r w:rsidRPr="005C50F1">
        <w:rPr>
          <w:rStyle w:val="Italic"/>
        </w:rPr>
        <w:t>1000 Friends</w:t>
      </w:r>
      <w:r w:rsidRPr="005C50F1">
        <w:t xml:space="preserve"> </w:t>
      </w:r>
      <w:r w:rsidRPr="005C50F1">
        <w:rPr>
          <w:rStyle w:val="Italic"/>
        </w:rPr>
        <w:t>(Curry Co.)</w:t>
      </w:r>
      <w:r w:rsidR="001D5627">
        <w:rPr>
          <w:rStyle w:val="Italic"/>
        </w:rPr>
        <w:fldChar w:fldCharType="begin"/>
      </w:r>
      <w:r w:rsidR="001D5627">
        <w:instrText xml:space="preserve"> TA \s "1000 Friends of Oregon v. LCDC (Curry Co.), 301 Or 447, 451, 724 P2d 268 (1986)" </w:instrText>
      </w:r>
      <w:r w:rsidR="001D5627">
        <w:rPr>
          <w:rStyle w:val="Italic"/>
        </w:rPr>
        <w:fldChar w:fldCharType="end"/>
      </w:r>
      <w:r w:rsidRPr="005C50F1">
        <w:t>, 301 Or at 452.</w:t>
      </w:r>
    </w:p>
    <w:p w14:paraId="36DCDEBE" w14:textId="23D67F54" w:rsidR="00916FF0" w:rsidRDefault="004103AB" w:rsidP="007F16EB">
      <w:pPr>
        <w:pStyle w:val="BodyText"/>
      </w:pPr>
      <w:r>
        <w:t xml:space="preserve">Goal 3 (Agricultural Lands) </w:t>
      </w:r>
      <w:r w:rsidR="00D31F8E">
        <w:t xml:space="preserve">is one goal </w:t>
      </w:r>
      <w:r>
        <w:t xml:space="preserve">of particular significance </w:t>
      </w:r>
      <w:r w:rsidR="00E4295E">
        <w:t>to this appeal</w:t>
      </w:r>
      <w:r>
        <w:t xml:space="preserve">.  </w:t>
      </w:r>
      <w:r w:rsidR="00191FAE">
        <w:t xml:space="preserve">Goal 3 provides that “agricultural lands shall be preserved and maintained for farm use, consistent with existing and future needs for agricultural products, forest and open space and with the state’s land use policy expressed in </w:t>
      </w:r>
      <w:proofErr w:type="spellStart"/>
      <w:r w:rsidR="00191FAE">
        <w:t>ORS</w:t>
      </w:r>
      <w:proofErr w:type="spellEnd"/>
      <w:r w:rsidR="00191FAE">
        <w:t xml:space="preserve"> 215.243</w:t>
      </w:r>
      <w:r w:rsidR="001D5627">
        <w:fldChar w:fldCharType="begin"/>
      </w:r>
      <w:r w:rsidR="001D5627">
        <w:instrText xml:space="preserve"> TA \l "</w:instrText>
      </w:r>
      <w:r w:rsidR="001D5627" w:rsidRPr="00965CCC">
        <w:instrText>ORS 215.243</w:instrText>
      </w:r>
      <w:r w:rsidR="001D5627">
        <w:instrText xml:space="preserve">" \s "ORS 215.243" \c 2 </w:instrText>
      </w:r>
      <w:r w:rsidR="001D5627">
        <w:fldChar w:fldCharType="end"/>
      </w:r>
      <w:r w:rsidR="00191FAE">
        <w:t xml:space="preserve"> and 215.700</w:t>
      </w:r>
      <w:r w:rsidR="001D5627">
        <w:fldChar w:fldCharType="begin"/>
      </w:r>
      <w:r w:rsidR="001D5627">
        <w:instrText xml:space="preserve"> TA \l "</w:instrText>
      </w:r>
      <w:r w:rsidR="001D5627" w:rsidRPr="00965CCC">
        <w:instrText>ORS 215.700</w:instrText>
      </w:r>
      <w:r w:rsidR="001D5627">
        <w:instrText xml:space="preserve">" \s "ORS 215.700" \c 2 </w:instrText>
      </w:r>
      <w:r w:rsidR="001D5627">
        <w:fldChar w:fldCharType="end"/>
      </w:r>
      <w:r w:rsidR="00191FAE">
        <w:t>.”  OAR 660-015-0000(3).</w:t>
      </w:r>
      <w:r w:rsidR="001D5627">
        <w:fldChar w:fldCharType="begin"/>
      </w:r>
      <w:r w:rsidR="001D5627">
        <w:instrText xml:space="preserve"> TA \l "</w:instrText>
      </w:r>
      <w:r w:rsidR="001D5627" w:rsidRPr="00965CCC">
        <w:instrText>OAR 660-015-0000(3).</w:instrText>
      </w:r>
      <w:r w:rsidR="001D5627">
        <w:instrText xml:space="preserve">" \s "OAR 660-015-0000(3)." \c 4 </w:instrText>
      </w:r>
      <w:r w:rsidR="001D5627">
        <w:fldChar w:fldCharType="end"/>
      </w:r>
      <w:r w:rsidR="00191FAE">
        <w:t xml:space="preserve">  </w:t>
      </w:r>
      <w:proofErr w:type="spellStart"/>
      <w:r w:rsidR="00191FAE">
        <w:t>LCDC</w:t>
      </w:r>
      <w:proofErr w:type="spellEnd"/>
      <w:r w:rsidR="00191FAE">
        <w:t xml:space="preserve"> has promulgated implementing regulations </w:t>
      </w:r>
      <w:r w:rsidR="00E17D9C">
        <w:t xml:space="preserve">for Goal 3 </w:t>
      </w:r>
      <w:r w:rsidR="00191FAE">
        <w:t>at OAR Chapter 660, Division 33</w:t>
      </w:r>
      <w:r w:rsidR="001D5627">
        <w:fldChar w:fldCharType="begin"/>
      </w:r>
      <w:r w:rsidR="001D5627">
        <w:instrText xml:space="preserve"> TA \l "</w:instrText>
      </w:r>
      <w:r w:rsidR="001D5627" w:rsidRPr="00965CCC">
        <w:instrText>OAR Chapter 660, Division 33</w:instrText>
      </w:r>
      <w:r w:rsidR="001D5627">
        <w:instrText xml:space="preserve">" \s "OAR Chapter 660, Division 33" \c 4 </w:instrText>
      </w:r>
      <w:r w:rsidR="001D5627">
        <w:fldChar w:fldCharType="end"/>
      </w:r>
      <w:r w:rsidR="00191FAE">
        <w:t xml:space="preserve">.  These </w:t>
      </w:r>
      <w:r w:rsidR="00E17D9C">
        <w:t xml:space="preserve">regulations </w:t>
      </w:r>
      <w:r w:rsidR="00191FAE">
        <w:t>work in tandem with statutes</w:t>
      </w:r>
      <w:r w:rsidR="00894D4F">
        <w:t xml:space="preserve"> the legislature</w:t>
      </w:r>
      <w:r>
        <w:t xml:space="preserve"> </w:t>
      </w:r>
      <w:r w:rsidR="00191FAE">
        <w:t xml:space="preserve">has </w:t>
      </w:r>
      <w:r w:rsidR="007F5588">
        <w:t>promulgated,</w:t>
      </w:r>
      <w:r>
        <w:t xml:space="preserve"> amended</w:t>
      </w:r>
      <w:r w:rsidR="00E17D9C">
        <w:t>,</w:t>
      </w:r>
      <w:r>
        <w:t xml:space="preserve"> </w:t>
      </w:r>
      <w:r w:rsidR="00B7085C">
        <w:t xml:space="preserve">and refined </w:t>
      </w:r>
      <w:r>
        <w:t>over time,</w:t>
      </w:r>
      <w:r w:rsidR="00191FAE">
        <w:t xml:space="preserve"> </w:t>
      </w:r>
      <w:r w:rsidR="00E17D9C">
        <w:t xml:space="preserve">which collectively </w:t>
      </w:r>
      <w:r w:rsidR="00191FAE">
        <w:t>reflect</w:t>
      </w:r>
      <w:r>
        <w:t xml:space="preserve"> a robust policy of </w:t>
      </w:r>
      <w:r w:rsidR="00E17D9C">
        <w:t xml:space="preserve">allowing </w:t>
      </w:r>
      <w:r w:rsidR="00C319A2">
        <w:t>“non</w:t>
      </w:r>
      <w:r>
        <w:t xml:space="preserve">farm” uses on </w:t>
      </w:r>
      <w:r w:rsidR="00894D4F">
        <w:t>agricultural lands</w:t>
      </w:r>
      <w:r w:rsidR="00E17D9C">
        <w:t xml:space="preserve"> (such as </w:t>
      </w:r>
      <w:r w:rsidR="00E17D9C">
        <w:lastRenderedPageBreak/>
        <w:t>land zoned for exclusive farm use (“</w:t>
      </w:r>
      <w:proofErr w:type="spellStart"/>
      <w:r w:rsidR="00E17D9C">
        <w:t>EFU</w:t>
      </w:r>
      <w:proofErr w:type="spellEnd"/>
      <w:r w:rsidR="00E17D9C">
        <w:t>”)</w:t>
      </w:r>
      <w:r w:rsidR="003A1961">
        <w:t>)</w:t>
      </w:r>
      <w:r w:rsidR="00894D4F">
        <w:t>.</w:t>
      </w:r>
      <w:r w:rsidR="00404242">
        <w:t xml:space="preserve">  </w:t>
      </w:r>
      <w:r w:rsidR="00F46A78" w:rsidRPr="00E85BCA">
        <w:rPr>
          <w:i/>
        </w:rPr>
        <w:t>See</w:t>
      </w:r>
      <w:r w:rsidR="00F46A78">
        <w:t xml:space="preserve"> </w:t>
      </w:r>
      <w:proofErr w:type="spellStart"/>
      <w:r w:rsidR="00F46A78">
        <w:t>ORS</w:t>
      </w:r>
      <w:proofErr w:type="spellEnd"/>
      <w:r w:rsidR="00F46A78">
        <w:t xml:space="preserve"> 215.213</w:t>
      </w:r>
      <w:r w:rsidR="001D5627">
        <w:fldChar w:fldCharType="begin"/>
      </w:r>
      <w:r w:rsidR="001D5627">
        <w:instrText xml:space="preserve"> TA \l "</w:instrText>
      </w:r>
      <w:r w:rsidR="001D5627" w:rsidRPr="00965CCC">
        <w:instrText>ORS 215.213</w:instrText>
      </w:r>
      <w:r w:rsidR="001D5627">
        <w:instrText xml:space="preserve">" \s "ORS 215.213" \c 2 </w:instrText>
      </w:r>
      <w:r w:rsidR="001D5627">
        <w:fldChar w:fldCharType="end"/>
      </w:r>
      <w:r w:rsidR="00E17D9C">
        <w:t>,</w:t>
      </w:r>
      <w:r w:rsidR="00F46A78">
        <w:t xml:space="preserve"> 215.283</w:t>
      </w:r>
      <w:r w:rsidR="00283DC2">
        <w:fldChar w:fldCharType="begin"/>
      </w:r>
      <w:r w:rsidR="00283DC2">
        <w:instrText xml:space="preserve"> TA \s "ORS 215.283" </w:instrText>
      </w:r>
      <w:r w:rsidR="00283DC2">
        <w:fldChar w:fldCharType="end"/>
      </w:r>
      <w:r w:rsidR="00E17D9C">
        <w:t>; OAR 660-033-0120</w:t>
      </w:r>
      <w:r w:rsidR="00283DC2">
        <w:fldChar w:fldCharType="begin"/>
      </w:r>
      <w:r w:rsidR="00283DC2">
        <w:instrText xml:space="preserve"> TA \l "</w:instrText>
      </w:r>
      <w:r w:rsidR="00283DC2" w:rsidRPr="00965CCC">
        <w:instrText>OAR 660-033-0120</w:instrText>
      </w:r>
      <w:r w:rsidR="00283DC2">
        <w:instrText xml:space="preserve">" \s "OAR 660-033-0120" \c 4 </w:instrText>
      </w:r>
      <w:r w:rsidR="00283DC2">
        <w:fldChar w:fldCharType="end"/>
      </w:r>
      <w:r w:rsidR="00F46A78">
        <w:t>.</w:t>
      </w:r>
    </w:p>
    <w:p w14:paraId="5259F94D" w14:textId="772125BB" w:rsidR="00191FAE" w:rsidRDefault="00916FF0" w:rsidP="008035A1">
      <w:pPr>
        <w:pStyle w:val="BodyText"/>
      </w:pPr>
      <w:r>
        <w:t xml:space="preserve">In sum, counties play a central role and possess substantial discretion and authority over the permitting of land uses within the framework of Oregon’s coordinated land use planning system—as manifested through </w:t>
      </w:r>
      <w:proofErr w:type="spellStart"/>
      <w:r>
        <w:t>LCDC’s</w:t>
      </w:r>
      <w:proofErr w:type="spellEnd"/>
      <w:r>
        <w:t xml:space="preserve"> goals—including</w:t>
      </w:r>
      <w:r w:rsidR="00C2363F">
        <w:t xml:space="preserve"> by determining permissible non</w:t>
      </w:r>
      <w:r>
        <w:t>farm uses of agricultural lands for the best interests of the people in their jurisdictions.</w:t>
      </w:r>
    </w:p>
    <w:p w14:paraId="60BDEB2B" w14:textId="77777777" w:rsidR="00263FAA" w:rsidRPr="005C50F1" w:rsidRDefault="00263FAA" w:rsidP="003C6061">
      <w:pPr>
        <w:pStyle w:val="Heading2"/>
      </w:pPr>
      <w:bookmarkStart w:id="10" w:name="_Toc78292822"/>
      <w:r>
        <w:t>Counties Have Exercised Discre</w:t>
      </w:r>
      <w:r w:rsidR="003C6061">
        <w:t>tionary Approval Authority</w:t>
      </w:r>
      <w:r>
        <w:t xml:space="preserve"> </w:t>
      </w:r>
      <w:r w:rsidR="003C6061">
        <w:t xml:space="preserve">Over Certain Energy Facilities </w:t>
      </w:r>
      <w:r>
        <w:t>For</w:t>
      </w:r>
      <w:r w:rsidR="003C6061">
        <w:t xml:space="preserve"> Decades.</w:t>
      </w:r>
      <w:bookmarkEnd w:id="10"/>
    </w:p>
    <w:p w14:paraId="70F3B58C" w14:textId="546B6F64" w:rsidR="00803393" w:rsidRPr="008B03E1" w:rsidRDefault="006110CF" w:rsidP="007F16EB">
      <w:pPr>
        <w:pStyle w:val="BodyText"/>
      </w:pPr>
      <w:r w:rsidRPr="00263FAA">
        <w:t>C</w:t>
      </w:r>
      <w:r w:rsidR="006F4800" w:rsidRPr="00263FAA">
        <w:t xml:space="preserve">ounties </w:t>
      </w:r>
      <w:r w:rsidR="00CC2E00" w:rsidRPr="00263FAA">
        <w:t>have been implementing the Oregon</w:t>
      </w:r>
      <w:r w:rsidR="00433D89" w:rsidRPr="00263FAA">
        <w:t xml:space="preserve"> land use system for over 40 years and</w:t>
      </w:r>
      <w:r w:rsidR="008035A1">
        <w:t>,</w:t>
      </w:r>
      <w:r w:rsidR="00433D89" w:rsidRPr="00263FAA">
        <w:t xml:space="preserve"> </w:t>
      </w:r>
      <w:r w:rsidR="00803393">
        <w:t>within this framework</w:t>
      </w:r>
      <w:r w:rsidR="008035A1">
        <w:t>,</w:t>
      </w:r>
      <w:r w:rsidR="00803393">
        <w:t xml:space="preserve"> </w:t>
      </w:r>
      <w:r w:rsidR="00433D89" w:rsidRPr="00263FAA">
        <w:t xml:space="preserve">regularly </w:t>
      </w:r>
      <w:r w:rsidR="00803393">
        <w:t>exercise policy choices—</w:t>
      </w:r>
      <w:r w:rsidR="00803393" w:rsidRPr="00803393">
        <w:rPr>
          <w:i/>
        </w:rPr>
        <w:t>viz.</w:t>
      </w:r>
      <w:r w:rsidR="00803393">
        <w:t>, “consider, promote and manage the local aspects of land conservation and development for the best interest</w:t>
      </w:r>
      <w:r w:rsidR="008035A1">
        <w:t>s</w:t>
      </w:r>
      <w:r w:rsidR="00803393">
        <w:t xml:space="preserve"> of the people within their jurisdictions”</w:t>
      </w:r>
      <w:r w:rsidR="00CB3358">
        <w:t xml:space="preserve"> (</w:t>
      </w:r>
      <w:proofErr w:type="spellStart"/>
      <w:r w:rsidR="00CB3358">
        <w:t>ORS</w:t>
      </w:r>
      <w:proofErr w:type="spellEnd"/>
      <w:r w:rsidR="00CB3358">
        <w:t> </w:t>
      </w:r>
      <w:r w:rsidR="008035A1">
        <w:t>197.005</w:t>
      </w:r>
      <w:r w:rsidR="00283DC2">
        <w:t xml:space="preserve"> </w:t>
      </w:r>
      <w:r w:rsidR="008035A1">
        <w:t>(3)</w:t>
      </w:r>
      <w:r w:rsidR="00C263C2">
        <w:fldChar w:fldCharType="begin"/>
      </w:r>
      <w:r w:rsidR="00C263C2">
        <w:instrText xml:space="preserve"> TA \s "ORS 197.005(3)" </w:instrText>
      </w:r>
      <w:r w:rsidR="00C263C2">
        <w:fldChar w:fldCharType="end"/>
      </w:r>
      <w:r w:rsidR="008035A1">
        <w:t>)</w:t>
      </w:r>
      <w:r w:rsidR="00803393">
        <w:t xml:space="preserve">—over </w:t>
      </w:r>
      <w:r w:rsidR="00433D89" w:rsidRPr="00263FAA">
        <w:t>a variety of complex land use matters</w:t>
      </w:r>
      <w:r w:rsidRPr="00263FAA">
        <w:t xml:space="preserve"> on </w:t>
      </w:r>
      <w:proofErr w:type="spellStart"/>
      <w:r w:rsidRPr="00263FAA">
        <w:t>EFU</w:t>
      </w:r>
      <w:proofErr w:type="spellEnd"/>
      <w:r w:rsidRPr="00263FAA">
        <w:t xml:space="preserve"> lands and </w:t>
      </w:r>
      <w:r w:rsidR="007700DE">
        <w:t xml:space="preserve">in </w:t>
      </w:r>
      <w:r w:rsidRPr="00263FAA">
        <w:t>other zon</w:t>
      </w:r>
      <w:r w:rsidR="007700DE">
        <w:t>es</w:t>
      </w:r>
      <w:r w:rsidR="00433D89" w:rsidRPr="00263FAA">
        <w:t>.  For example, counties have responsibility for siting multi-use destination resorts,</w:t>
      </w:r>
      <w:r w:rsidR="000C4CF3">
        <w:t xml:space="preserve"> data centers,</w:t>
      </w:r>
      <w:r w:rsidR="00433D89" w:rsidRPr="00263FAA">
        <w:t xml:space="preserve"> </w:t>
      </w:r>
      <w:r w:rsidR="00CF02AB">
        <w:t xml:space="preserve">commercial generation facilities, </w:t>
      </w:r>
      <w:r w:rsidR="00433D89" w:rsidRPr="00263FAA">
        <w:t xml:space="preserve">commercial activities in conjunction with farm uses, and solid waste disposal sites, among other economic development and essential service projects.  </w:t>
      </w:r>
      <w:r w:rsidR="008B03E1" w:rsidRPr="00CB3358">
        <w:rPr>
          <w:i/>
        </w:rPr>
        <w:t>See, e.g.</w:t>
      </w:r>
      <w:r w:rsidR="008B03E1" w:rsidRPr="00CB3358">
        <w:t xml:space="preserve">, </w:t>
      </w:r>
      <w:proofErr w:type="spellStart"/>
      <w:r w:rsidR="008B03E1" w:rsidRPr="00CB3358">
        <w:t>ORS</w:t>
      </w:r>
      <w:proofErr w:type="spellEnd"/>
      <w:r w:rsidR="008B03E1" w:rsidRPr="00CB3358">
        <w:t xml:space="preserve"> 197.445</w:t>
      </w:r>
      <w:r w:rsidR="00CB3358">
        <w:fldChar w:fldCharType="begin"/>
      </w:r>
      <w:r w:rsidR="00CB3358">
        <w:instrText xml:space="preserve"> TA \l "</w:instrText>
      </w:r>
      <w:proofErr w:type="spellStart"/>
      <w:r w:rsidR="00CB3358" w:rsidRPr="008D78DC">
        <w:instrText>ORS</w:instrText>
      </w:r>
      <w:proofErr w:type="spellEnd"/>
      <w:r w:rsidR="00CB3358" w:rsidRPr="008D78DC">
        <w:instrText xml:space="preserve"> 197.445</w:instrText>
      </w:r>
      <w:r w:rsidR="00CB3358">
        <w:instrText>" \s "</w:instrText>
      </w:r>
      <w:proofErr w:type="spellStart"/>
      <w:r w:rsidR="00CB3358">
        <w:instrText>ORS</w:instrText>
      </w:r>
      <w:proofErr w:type="spellEnd"/>
      <w:r w:rsidR="00CB3358">
        <w:instrText xml:space="preserve"> </w:instrText>
      </w:r>
      <w:r w:rsidR="00CB3358">
        <w:lastRenderedPageBreak/>
        <w:instrText xml:space="preserve">197.445" \c 2 </w:instrText>
      </w:r>
      <w:r w:rsidR="00CB3358">
        <w:fldChar w:fldCharType="end"/>
      </w:r>
      <w:r w:rsidR="008B03E1" w:rsidRPr="00CB3358">
        <w:t xml:space="preserve">; </w:t>
      </w:r>
      <w:proofErr w:type="spellStart"/>
      <w:r w:rsidR="008B03E1" w:rsidRPr="00CB3358">
        <w:t>ORS</w:t>
      </w:r>
      <w:proofErr w:type="spellEnd"/>
      <w:r w:rsidR="008B03E1" w:rsidRPr="00CB3358">
        <w:t xml:space="preserve"> 215.283</w:t>
      </w:r>
      <w:r w:rsidR="00CB3358">
        <w:fldChar w:fldCharType="begin"/>
      </w:r>
      <w:r w:rsidR="00CB3358">
        <w:instrText xml:space="preserve"> TA \s "</w:instrText>
      </w:r>
      <w:proofErr w:type="spellStart"/>
      <w:r w:rsidR="00CB3358">
        <w:instrText>ORS</w:instrText>
      </w:r>
      <w:proofErr w:type="spellEnd"/>
      <w:r w:rsidR="00CB3358">
        <w:instrText xml:space="preserve"> 215.283" </w:instrText>
      </w:r>
      <w:r w:rsidR="00CB3358">
        <w:fldChar w:fldCharType="end"/>
      </w:r>
      <w:r w:rsidR="00E92284" w:rsidRPr="00CB3358">
        <w:t xml:space="preserve">; </w:t>
      </w:r>
      <w:proofErr w:type="spellStart"/>
      <w:r w:rsidR="00E92284" w:rsidRPr="00CB3358">
        <w:t>ORS</w:t>
      </w:r>
      <w:proofErr w:type="spellEnd"/>
      <w:r w:rsidR="00E92284" w:rsidRPr="00CB3358">
        <w:t xml:space="preserve"> 459.017(b)</w:t>
      </w:r>
      <w:r w:rsidR="00CB3358">
        <w:fldChar w:fldCharType="begin"/>
      </w:r>
      <w:r w:rsidR="00CB3358">
        <w:instrText xml:space="preserve"> TA \l "</w:instrText>
      </w:r>
      <w:proofErr w:type="spellStart"/>
      <w:r w:rsidR="00CB3358" w:rsidRPr="008D78DC">
        <w:instrText>ORS</w:instrText>
      </w:r>
      <w:proofErr w:type="spellEnd"/>
      <w:r w:rsidR="00CB3358" w:rsidRPr="008D78DC">
        <w:instrText xml:space="preserve"> 459.017(b)</w:instrText>
      </w:r>
      <w:r w:rsidR="00CB3358">
        <w:instrText>" \s "</w:instrText>
      </w:r>
      <w:proofErr w:type="spellStart"/>
      <w:r w:rsidR="00CB3358">
        <w:instrText>ORS</w:instrText>
      </w:r>
      <w:proofErr w:type="spellEnd"/>
      <w:r w:rsidR="00CB3358">
        <w:instrText xml:space="preserve"> 459.017(b)" \c 2 </w:instrText>
      </w:r>
      <w:r w:rsidR="00CB3358">
        <w:fldChar w:fldCharType="end"/>
      </w:r>
      <w:r w:rsidR="008B03E1" w:rsidRPr="00CB3358">
        <w:t>.</w:t>
      </w:r>
    </w:p>
    <w:p w14:paraId="5088AF66" w14:textId="4A844B5C" w:rsidR="00803393" w:rsidRDefault="00D405BB" w:rsidP="007F16EB">
      <w:pPr>
        <w:pStyle w:val="BodyText"/>
      </w:pPr>
      <w:r>
        <w:t xml:space="preserve">Out of necessity, </w:t>
      </w:r>
      <w:r w:rsidR="00B46AA3">
        <w:t>c</w:t>
      </w:r>
      <w:r w:rsidR="00A36EF2">
        <w:t>ounties</w:t>
      </w:r>
      <w:r w:rsidR="00803393">
        <w:t xml:space="preserve"> </w:t>
      </w:r>
      <w:r>
        <w:t xml:space="preserve">making decisions on land use permits routinely construe and determine the </w:t>
      </w:r>
      <w:r w:rsidR="00803393">
        <w:t>applicability of land use regulations</w:t>
      </w:r>
      <w:r w:rsidR="0046109D">
        <w:t>.</w:t>
      </w:r>
      <w:r w:rsidR="006D1F7C">
        <w:t xml:space="preserve"> </w:t>
      </w:r>
      <w:r w:rsidR="00872E92">
        <w:t xml:space="preserve"> Indeed, counties are</w:t>
      </w:r>
      <w:r w:rsidR="000011F7">
        <w:t xml:space="preserve"> prohibited from approving a permit </w:t>
      </w:r>
      <w:r w:rsidR="006D1F7C" w:rsidRPr="001935E8">
        <w:t>application if it is “found to be in conflict with the comprehensive plan of the county and other applicable land use or ordinance prov</w:t>
      </w:r>
      <w:r w:rsidR="006D1F7C">
        <w:t xml:space="preserve">isions.”  </w:t>
      </w:r>
      <w:proofErr w:type="spellStart"/>
      <w:r w:rsidR="006D1F7C">
        <w:t>ORS</w:t>
      </w:r>
      <w:proofErr w:type="spellEnd"/>
      <w:r w:rsidR="006D1F7C">
        <w:t xml:space="preserve"> 215.416(4)(a)</w:t>
      </w:r>
      <w:r w:rsidR="00283DC2">
        <w:fldChar w:fldCharType="begin"/>
      </w:r>
      <w:r w:rsidR="00283DC2">
        <w:instrText xml:space="preserve"> TA \l "</w:instrText>
      </w:r>
      <w:r w:rsidR="00283DC2" w:rsidRPr="00965CCC">
        <w:instrText>ORS 215.416(4)(a)</w:instrText>
      </w:r>
      <w:r w:rsidR="00283DC2">
        <w:instrText xml:space="preserve">" \s "ORS 215.416(4)(a)" \c 2 </w:instrText>
      </w:r>
      <w:r w:rsidR="00283DC2">
        <w:fldChar w:fldCharType="end"/>
      </w:r>
      <w:r w:rsidR="006D1F7C">
        <w:t xml:space="preserve">; </w:t>
      </w:r>
      <w:r w:rsidR="00872E92">
        <w:rPr>
          <w:i/>
        </w:rPr>
        <w:t>s</w:t>
      </w:r>
      <w:r w:rsidR="006D1F7C" w:rsidRPr="001935E8">
        <w:rPr>
          <w:i/>
        </w:rPr>
        <w:t>ee also</w:t>
      </w:r>
      <w:r w:rsidR="006D1F7C" w:rsidRPr="001935E8">
        <w:t xml:space="preserve"> </w:t>
      </w:r>
      <w:proofErr w:type="spellStart"/>
      <w:r w:rsidR="006D1F7C" w:rsidRPr="001935E8">
        <w:t>ORS</w:t>
      </w:r>
      <w:proofErr w:type="spellEnd"/>
      <w:r w:rsidR="006D1F7C" w:rsidRPr="001935E8">
        <w:t xml:space="preserve"> 215.416(8)(a)</w:t>
      </w:r>
      <w:r w:rsidR="00283DC2">
        <w:fldChar w:fldCharType="begin"/>
      </w:r>
      <w:r w:rsidR="00283DC2">
        <w:instrText xml:space="preserve"> TA \l "</w:instrText>
      </w:r>
      <w:r w:rsidR="00283DC2" w:rsidRPr="00965CCC">
        <w:instrText>ORS 215.416(8)(a)</w:instrText>
      </w:r>
      <w:r w:rsidR="00283DC2">
        <w:instrText xml:space="preserve">" \s "ORS 215.416(8)(a)" \c 2 </w:instrText>
      </w:r>
      <w:r w:rsidR="00283DC2">
        <w:fldChar w:fldCharType="end"/>
      </w:r>
      <w:r w:rsidR="006D1F7C" w:rsidRPr="001935E8">
        <w:t xml:space="preserve"> </w:t>
      </w:r>
      <w:r w:rsidR="006D1F7C">
        <w:t>(</w:t>
      </w:r>
      <w:r w:rsidR="006D1F7C" w:rsidRPr="001935E8">
        <w:t>requiring approval or denial of a permit to be “based on standards and criteria</w:t>
      </w:r>
      <w:r w:rsidR="00872E92">
        <w:t>”</w:t>
      </w:r>
      <w:r w:rsidR="006D1F7C">
        <w:t>)</w:t>
      </w:r>
      <w:r w:rsidR="00872E92">
        <w:t>.</w:t>
      </w:r>
      <w:r w:rsidR="006D1F7C" w:rsidRPr="001935E8">
        <w:t xml:space="preserve"> </w:t>
      </w:r>
      <w:r w:rsidR="00872E92">
        <w:t xml:space="preserve"> In other words, it is incumbent </w:t>
      </w:r>
      <w:r w:rsidR="00E5074C">
        <w:t>up</w:t>
      </w:r>
      <w:r w:rsidR="00872E92">
        <w:t xml:space="preserve">on counties to determine what standards and criteria are applicable to a land use </w:t>
      </w:r>
      <w:r w:rsidR="000011F7">
        <w:t xml:space="preserve">permit </w:t>
      </w:r>
      <w:r w:rsidR="00872E92">
        <w:t xml:space="preserve">application and to apply those standards and criteria.  </w:t>
      </w:r>
      <w:r w:rsidR="00872E92" w:rsidRPr="00872E92">
        <w:rPr>
          <w:i/>
        </w:rPr>
        <w:t>See, e.g</w:t>
      </w:r>
      <w:r w:rsidR="00BF4041">
        <w:rPr>
          <w:i/>
        </w:rPr>
        <w:t>.</w:t>
      </w:r>
      <w:r w:rsidR="00BF4041">
        <w:t>,</w:t>
      </w:r>
      <w:r w:rsidR="00E5074C">
        <w:rPr>
          <w:i/>
        </w:rPr>
        <w:t xml:space="preserve"> Friends of the Creek v. Jackson County</w:t>
      </w:r>
      <w:r w:rsidR="00E5074C">
        <w:t>, 165 Or App 138, 141–42, 995 P2d 1204 (2000)</w:t>
      </w:r>
      <w:r w:rsidR="00283DC2">
        <w:fldChar w:fldCharType="begin"/>
      </w:r>
      <w:r w:rsidR="00283DC2">
        <w:instrText xml:space="preserve"> TA \l "</w:instrText>
      </w:r>
      <w:r w:rsidR="00283DC2" w:rsidRPr="00965CCC">
        <w:rPr>
          <w:i/>
        </w:rPr>
        <w:instrText>Friends of the Creek v. Jackson County</w:instrText>
      </w:r>
      <w:r w:rsidR="00283DC2" w:rsidRPr="00965CCC">
        <w:instrText>, 165 Or App 138, 995 P2d 1204 (2000)</w:instrText>
      </w:r>
      <w:r w:rsidR="00283DC2">
        <w:instrText xml:space="preserve">" \s "Friends of the Creek v. Jackson County, 165 Or App 138, 141–42, 995 P2d 1204 (2000)" \c 1 </w:instrText>
      </w:r>
      <w:r w:rsidR="00283DC2">
        <w:fldChar w:fldCharType="end"/>
      </w:r>
      <w:r w:rsidR="00BF4041">
        <w:t xml:space="preserve"> (</w:t>
      </w:r>
      <w:r w:rsidR="00BF4041" w:rsidRPr="00BF4041">
        <w:t>exercise of policy or legal judgment comprising a local land use decision involves ev</w:t>
      </w:r>
      <w:r w:rsidR="00BF4041" w:rsidRPr="00293B5B">
        <w:t>aluating the applicability of state statutes in the context of developed facts)</w:t>
      </w:r>
      <w:r w:rsidR="00E92284" w:rsidRPr="00293B5B">
        <w:t xml:space="preserve">; </w:t>
      </w:r>
      <w:r w:rsidR="00E92284" w:rsidRPr="00293B5B">
        <w:rPr>
          <w:i/>
        </w:rPr>
        <w:t xml:space="preserve">see also </w:t>
      </w:r>
      <w:r w:rsidR="00E92284" w:rsidRPr="00B3197B">
        <w:rPr>
          <w:i/>
        </w:rPr>
        <w:t>Green v. Douglas County</w:t>
      </w:r>
      <w:r w:rsidR="00E92284" w:rsidRPr="00B3197B">
        <w:t>, 245 Or App 430, 441, 263 P3d 355 (2011)</w:t>
      </w:r>
      <w:r w:rsidR="00B3197B" w:rsidRPr="00293B5B">
        <w:fldChar w:fldCharType="begin"/>
      </w:r>
      <w:r w:rsidR="00B3197B" w:rsidRPr="00293B5B">
        <w:instrText xml:space="preserve"> TA \l "</w:instrText>
      </w:r>
      <w:r w:rsidR="00B3197B" w:rsidRPr="00293B5B">
        <w:rPr>
          <w:i/>
        </w:rPr>
        <w:instrText>Green v. Douglas County</w:instrText>
      </w:r>
      <w:r w:rsidR="00B3197B" w:rsidRPr="00293B5B">
        <w:instrText xml:space="preserve">, 245 Or App 430, 263 P3d 355 (2011)" \s "Green v. Douglas County, 245 Or App 430, 441, 263 P3d 355 (2011)" \c 1 </w:instrText>
      </w:r>
      <w:r w:rsidR="00B3197B" w:rsidRPr="00293B5B">
        <w:fldChar w:fldCharType="end"/>
      </w:r>
      <w:r w:rsidR="00E92284" w:rsidRPr="00293B5B">
        <w:t xml:space="preserve"> (explaining “the county is in a </w:t>
      </w:r>
      <w:r w:rsidR="00E92284" w:rsidRPr="00293B5B">
        <w:lastRenderedPageBreak/>
        <w:t xml:space="preserve">far better position than </w:t>
      </w:r>
      <w:proofErr w:type="spellStart"/>
      <w:r w:rsidR="00E92284" w:rsidRPr="00293B5B">
        <w:t>LUBA</w:t>
      </w:r>
      <w:proofErr w:type="spellEnd"/>
      <w:r w:rsidR="00E92284" w:rsidRPr="00293B5B">
        <w:t xml:space="preserve"> or [the Court] to interpret [an] ordinance provision and, then, to make the largely factual and largely interdependent determination of whether the provision as it interprets it applies to” an applicant) (internal quotation marks omitted); </w:t>
      </w:r>
      <w:r w:rsidR="00E92284" w:rsidRPr="00293B5B">
        <w:rPr>
          <w:i/>
        </w:rPr>
        <w:t>see also</w:t>
      </w:r>
      <w:r w:rsidR="00E92284" w:rsidRPr="00293B5B">
        <w:t xml:space="preserve"> </w:t>
      </w:r>
      <w:proofErr w:type="spellStart"/>
      <w:r w:rsidR="00E92284" w:rsidRPr="00293B5B">
        <w:t>ORS</w:t>
      </w:r>
      <w:proofErr w:type="spellEnd"/>
      <w:r w:rsidR="00E92284" w:rsidRPr="00293B5B">
        <w:t xml:space="preserve"> 215.427(2)–(3)</w:t>
      </w:r>
      <w:r w:rsidR="00293B5B">
        <w:fldChar w:fldCharType="begin"/>
      </w:r>
      <w:r w:rsidR="00293B5B">
        <w:instrText xml:space="preserve"> TA \l "</w:instrText>
      </w:r>
      <w:proofErr w:type="spellStart"/>
      <w:r w:rsidR="00293B5B" w:rsidRPr="00BA7232">
        <w:instrText>ORS</w:instrText>
      </w:r>
      <w:proofErr w:type="spellEnd"/>
      <w:r w:rsidR="00293B5B" w:rsidRPr="00BA7232">
        <w:instrText xml:space="preserve"> 215.427(2)–(3)</w:instrText>
      </w:r>
      <w:r w:rsidR="00293B5B">
        <w:instrText>" \s "</w:instrText>
      </w:r>
      <w:proofErr w:type="spellStart"/>
      <w:r w:rsidR="00293B5B">
        <w:instrText>ORS</w:instrText>
      </w:r>
      <w:proofErr w:type="spellEnd"/>
      <w:r w:rsidR="00293B5B">
        <w:instrText xml:space="preserve"> 215.427(2)–(3)" \c 2 </w:instrText>
      </w:r>
      <w:r w:rsidR="00293B5B">
        <w:fldChar w:fldCharType="end"/>
      </w:r>
      <w:r w:rsidR="00E92284" w:rsidRPr="00293B5B">
        <w:t xml:space="preserve"> (requiring county determination that land use application is “complete” and that “approval or denial of the application shall be based on upon the standards and criteria that were applicable at the time the application was first submitted” as determined by the county)</w:t>
      </w:r>
      <w:r w:rsidR="00872E92" w:rsidRPr="00293B5B">
        <w:t>.</w:t>
      </w:r>
    </w:p>
    <w:p w14:paraId="2279E929" w14:textId="7058FD7A" w:rsidR="00066A25" w:rsidRDefault="00433D89" w:rsidP="003F1F52">
      <w:pPr>
        <w:pStyle w:val="BodyText"/>
      </w:pPr>
      <w:r w:rsidRPr="00263FAA">
        <w:t xml:space="preserve">Each county is unique </w:t>
      </w:r>
      <w:r w:rsidR="00CC2E00" w:rsidRPr="00263FAA">
        <w:t>with differing siting standards</w:t>
      </w:r>
      <w:r w:rsidR="00DA34C9">
        <w:t xml:space="preserve"> tailored to the land and people within the county</w:t>
      </w:r>
      <w:r w:rsidR="00B46AA3">
        <w:t xml:space="preserve">. </w:t>
      </w:r>
      <w:r w:rsidR="00342894">
        <w:t xml:space="preserve"> A</w:t>
      </w:r>
      <w:r w:rsidR="000011F7">
        <w:t>s facilitated under Oregon’s land use framework,</w:t>
      </w:r>
      <w:r w:rsidR="00CC2E00" w:rsidRPr="00263FAA">
        <w:t xml:space="preserve"> each</w:t>
      </w:r>
      <w:r w:rsidR="00342894">
        <w:t>, however,</w:t>
      </w:r>
      <w:r w:rsidR="00CC2E00" w:rsidRPr="00263FAA">
        <w:t xml:space="preserve"> offers an accessible venue and process for public pa</w:t>
      </w:r>
      <w:r w:rsidR="006110CF" w:rsidRPr="00263FAA">
        <w:t>rticipation as well as decision-</w:t>
      </w:r>
      <w:r w:rsidR="00CC2E00" w:rsidRPr="00263FAA">
        <w:t>making transparency and accountability.</w:t>
      </w:r>
      <w:r w:rsidR="000011F7">
        <w:t xml:space="preserve"> </w:t>
      </w:r>
      <w:r w:rsidR="00342894">
        <w:t xml:space="preserve"> </w:t>
      </w:r>
      <w:r w:rsidR="001E1657" w:rsidRPr="001E1657">
        <w:rPr>
          <w:i/>
        </w:rPr>
        <w:t>See e.g.</w:t>
      </w:r>
      <w:r w:rsidR="001E1657">
        <w:t>, Statewide Planning Goal 1 (Citizen Involvement), OAR 660-15-0000(1)</w:t>
      </w:r>
      <w:r w:rsidR="00283DC2">
        <w:fldChar w:fldCharType="begin"/>
      </w:r>
      <w:r w:rsidR="00283DC2">
        <w:instrText xml:space="preserve"> TA \l "</w:instrText>
      </w:r>
      <w:r w:rsidR="00283DC2" w:rsidRPr="00965CCC">
        <w:instrText>OAR 660-15-0000(1)</w:instrText>
      </w:r>
      <w:r w:rsidR="00283DC2">
        <w:instrText xml:space="preserve">" \s "OAR 660-15-0000(1)" \c 4 </w:instrText>
      </w:r>
      <w:r w:rsidR="00283DC2">
        <w:fldChar w:fldCharType="end"/>
      </w:r>
      <w:r w:rsidR="001E1657">
        <w:t xml:space="preserve">; </w:t>
      </w:r>
      <w:proofErr w:type="spellStart"/>
      <w:r w:rsidR="001E1657">
        <w:t>ORS</w:t>
      </w:r>
      <w:proofErr w:type="spellEnd"/>
      <w:r w:rsidR="001E1657">
        <w:t xml:space="preserve"> 197.763</w:t>
      </w:r>
      <w:r w:rsidR="00283DC2">
        <w:fldChar w:fldCharType="begin"/>
      </w:r>
      <w:r w:rsidR="00283DC2">
        <w:instrText xml:space="preserve"> TA \l "</w:instrText>
      </w:r>
      <w:r w:rsidR="00283DC2" w:rsidRPr="00965CCC">
        <w:instrText>ORS 197.763</w:instrText>
      </w:r>
      <w:r w:rsidR="00283DC2">
        <w:instrText xml:space="preserve">" \s "ORS 197.763" \c 2 </w:instrText>
      </w:r>
      <w:r w:rsidR="00283DC2">
        <w:fldChar w:fldCharType="end"/>
      </w:r>
      <w:r w:rsidR="001E1657">
        <w:t xml:space="preserve"> (</w:t>
      </w:r>
      <w:r w:rsidR="00693932">
        <w:t>conduct of local quasi-judicial land use hearings</w:t>
      </w:r>
      <w:r w:rsidR="00066A25">
        <w:t>;</w:t>
      </w:r>
      <w:r w:rsidR="00693932">
        <w:t xml:space="preserve"> notice requirements; hearing procedures).</w:t>
      </w:r>
      <w:r w:rsidR="00CC2E00" w:rsidRPr="00263FAA">
        <w:t xml:space="preserve">  </w:t>
      </w:r>
      <w:r w:rsidR="00A36EF2">
        <w:t>Notably,</w:t>
      </w:r>
      <w:r w:rsidR="0046109D">
        <w:t xml:space="preserve"> the legislature has </w:t>
      </w:r>
      <w:r w:rsidR="004716EF">
        <w:t xml:space="preserve">also </w:t>
      </w:r>
      <w:r w:rsidR="0046109D">
        <w:t xml:space="preserve">provided </w:t>
      </w:r>
      <w:r w:rsidR="00A36EF2">
        <w:t xml:space="preserve">that land use </w:t>
      </w:r>
      <w:r w:rsidR="004716EF">
        <w:t xml:space="preserve">permit </w:t>
      </w:r>
      <w:r w:rsidR="00A36EF2">
        <w:t>determinations must be timely</w:t>
      </w:r>
      <w:r w:rsidR="00B46AA3">
        <w:t xml:space="preserve"> made within 150 days of the completion of an application</w:t>
      </w:r>
      <w:r w:rsidR="0046109D">
        <w:t>.</w:t>
      </w:r>
      <w:r w:rsidR="00A36EF2">
        <w:t xml:space="preserve">  </w:t>
      </w:r>
      <w:proofErr w:type="spellStart"/>
      <w:r w:rsidR="00A36EF2">
        <w:t>ORS</w:t>
      </w:r>
      <w:proofErr w:type="spellEnd"/>
      <w:r w:rsidR="00A36EF2">
        <w:t xml:space="preserve"> 215.427(1)</w:t>
      </w:r>
      <w:r w:rsidR="00283DC2">
        <w:fldChar w:fldCharType="begin"/>
      </w:r>
      <w:r w:rsidR="00283DC2">
        <w:instrText xml:space="preserve"> TA \l "</w:instrText>
      </w:r>
      <w:r w:rsidR="00283DC2" w:rsidRPr="00965CCC">
        <w:instrText>ORS 215.427(1)</w:instrText>
      </w:r>
      <w:r w:rsidR="00283DC2">
        <w:instrText xml:space="preserve">" \s "ORS 215.427(1)" \c 2 </w:instrText>
      </w:r>
      <w:r w:rsidR="00283DC2">
        <w:fldChar w:fldCharType="end"/>
      </w:r>
      <w:r w:rsidR="00A36EF2">
        <w:t>.</w:t>
      </w:r>
    </w:p>
    <w:p w14:paraId="26BDB97E" w14:textId="6A7D69A9" w:rsidR="00DA34C9" w:rsidRDefault="00066A25" w:rsidP="003F1F52">
      <w:pPr>
        <w:pStyle w:val="BodyText"/>
      </w:pPr>
      <w:r>
        <w:lastRenderedPageBreak/>
        <w:t xml:space="preserve">It </w:t>
      </w:r>
      <w:r w:rsidR="00DA34C9">
        <w:t>is</w:t>
      </w:r>
      <w:r w:rsidR="00342894">
        <w:t xml:space="preserve"> within this context that the legislature</w:t>
      </w:r>
      <w:r w:rsidR="00E3577E">
        <w:t xml:space="preserve"> vested</w:t>
      </w:r>
      <w:r w:rsidR="00DA34C9">
        <w:t xml:space="preserve"> counties</w:t>
      </w:r>
      <w:r>
        <w:t>—since 1973—</w:t>
      </w:r>
      <w:r w:rsidR="00E3577E">
        <w:t>with conditional use authority over</w:t>
      </w:r>
      <w:r w:rsidR="00DA34C9">
        <w:t xml:space="preserve"> commercial generating facilities, including renewable energy facilities.  Or Laws 1973, </w:t>
      </w:r>
      <w:proofErr w:type="spellStart"/>
      <w:r w:rsidR="00DA34C9">
        <w:t>ch.</w:t>
      </w:r>
      <w:proofErr w:type="spellEnd"/>
      <w:r w:rsidR="00DA34C9">
        <w:t xml:space="preserve"> 503, § 4</w:t>
      </w:r>
      <w:r w:rsidR="00283DC2">
        <w:fldChar w:fldCharType="begin"/>
      </w:r>
      <w:r w:rsidR="00283DC2">
        <w:instrText xml:space="preserve"> TA \l "</w:instrText>
      </w:r>
      <w:r w:rsidR="00283DC2" w:rsidRPr="00965CCC">
        <w:instrText>Or Laws 1973, ch. 503, § 4</w:instrText>
      </w:r>
      <w:r w:rsidR="00283DC2">
        <w:instrText xml:space="preserve">" \s "Or Laws 1973, ch. 503, § 4" \c 2 </w:instrText>
      </w:r>
      <w:r w:rsidR="00283DC2">
        <w:fldChar w:fldCharType="end"/>
      </w:r>
      <w:r w:rsidR="00DA34C9">
        <w:t xml:space="preserve">, </w:t>
      </w:r>
      <w:r w:rsidR="00DA34C9" w:rsidRPr="00D74E2D">
        <w:rPr>
          <w:i/>
        </w:rPr>
        <w:t>codified at</w:t>
      </w:r>
      <w:r w:rsidR="00EF2CA2">
        <w:t xml:space="preserve"> </w:t>
      </w:r>
      <w:proofErr w:type="spellStart"/>
      <w:r w:rsidR="00EF2CA2">
        <w:t>ORS</w:t>
      </w:r>
      <w:proofErr w:type="spellEnd"/>
      <w:r w:rsidR="00EF2CA2">
        <w:t> </w:t>
      </w:r>
      <w:r w:rsidR="00DA34C9">
        <w:t>215.213(2)(g)</w:t>
      </w:r>
      <w:r w:rsidR="00283DC2">
        <w:fldChar w:fldCharType="begin"/>
      </w:r>
      <w:r w:rsidR="00283DC2">
        <w:instrText xml:space="preserve"> TA \l "</w:instrText>
      </w:r>
      <w:r w:rsidR="00283DC2" w:rsidRPr="00965CCC">
        <w:instrText>ORS 215.213(2)(g)</w:instrText>
      </w:r>
      <w:r w:rsidR="00283DC2">
        <w:instrText xml:space="preserve">" \s "ORS 215.213(2)(g)" \c 2 </w:instrText>
      </w:r>
      <w:r w:rsidR="00283DC2">
        <w:fldChar w:fldCharType="end"/>
      </w:r>
      <w:r w:rsidR="00DA34C9">
        <w:t xml:space="preserve"> and </w:t>
      </w:r>
      <w:proofErr w:type="spellStart"/>
      <w:r w:rsidR="00DA34C9">
        <w:t>ORS</w:t>
      </w:r>
      <w:proofErr w:type="spellEnd"/>
      <w:r w:rsidR="00DA34C9">
        <w:t xml:space="preserve"> 215.283(2)(g)</w:t>
      </w:r>
      <w:r w:rsidR="00283DC2">
        <w:fldChar w:fldCharType="begin"/>
      </w:r>
      <w:r w:rsidR="00283DC2">
        <w:instrText xml:space="preserve"> TA \l "</w:instrText>
      </w:r>
      <w:r w:rsidR="00283DC2" w:rsidRPr="00965CCC">
        <w:instrText>ORS 215.283(2)(g)</w:instrText>
      </w:r>
      <w:r w:rsidR="00283DC2">
        <w:instrText xml:space="preserve">" \s "ORS 215.283(2)(g)" \c 2 </w:instrText>
      </w:r>
      <w:r w:rsidR="00283DC2">
        <w:fldChar w:fldCharType="end"/>
      </w:r>
      <w:r w:rsidR="00DA34C9">
        <w:t xml:space="preserve"> (“commercial utility facilities for the purpose of generating power for public use by sale”); </w:t>
      </w:r>
      <w:r w:rsidR="00DA34C9" w:rsidRPr="00CF2044">
        <w:rPr>
          <w:i/>
        </w:rPr>
        <w:t>see also</w:t>
      </w:r>
      <w:r w:rsidR="00DA34C9">
        <w:t xml:space="preserve"> </w:t>
      </w:r>
      <w:proofErr w:type="spellStart"/>
      <w:r w:rsidR="00DA34C9" w:rsidRPr="00B7085C">
        <w:rPr>
          <w:i/>
        </w:rPr>
        <w:t>Brentmar</w:t>
      </w:r>
      <w:proofErr w:type="spellEnd"/>
      <w:r w:rsidR="00DA34C9">
        <w:rPr>
          <w:i/>
        </w:rPr>
        <w:t xml:space="preserve"> v. Jackson County</w:t>
      </w:r>
      <w:r w:rsidR="00DA34C9">
        <w:t xml:space="preserve">, 321 Or 481, 496, </w:t>
      </w:r>
      <w:r w:rsidR="00DA34C9" w:rsidRPr="002A0389">
        <w:t>900 P2d 1030</w:t>
      </w:r>
      <w:r w:rsidR="00DA34C9">
        <w:t xml:space="preserve"> (1995)</w:t>
      </w:r>
      <w:r w:rsidR="00283DC2">
        <w:fldChar w:fldCharType="begin"/>
      </w:r>
      <w:r w:rsidR="00283DC2">
        <w:instrText xml:space="preserve"> TA \l "</w:instrText>
      </w:r>
      <w:r w:rsidR="00283DC2" w:rsidRPr="00965CCC">
        <w:rPr>
          <w:i/>
        </w:rPr>
        <w:instrText>Brentmar v. Jackson County</w:instrText>
      </w:r>
      <w:r w:rsidR="00283DC2" w:rsidRPr="00965CCC">
        <w:instrText>, 321 Or 481, 900 P2d 1030 (1995)</w:instrText>
      </w:r>
      <w:r w:rsidR="00283DC2">
        <w:instrText xml:space="preserve">" \s "Brentmar v. Jackson County, 321 Or 481, 496, 900 P2d 1030 (1995)" \c 1 </w:instrText>
      </w:r>
      <w:r w:rsidR="00283DC2">
        <w:fldChar w:fldCharType="end"/>
      </w:r>
      <w:r w:rsidR="00DA34C9">
        <w:t xml:space="preserve"> (</w:t>
      </w:r>
      <w:r w:rsidR="00DA34C9" w:rsidRPr="002A0389">
        <w:t xml:space="preserve">the legislature </w:t>
      </w:r>
      <w:r w:rsidR="00DA34C9">
        <w:t>created</w:t>
      </w:r>
      <w:r w:rsidR="00DA34C9" w:rsidRPr="002A0389">
        <w:t xml:space="preserve"> two categories of use</w:t>
      </w:r>
      <w:r w:rsidR="00DA34C9">
        <w:t>, as of right and conditional, in subsections (1) and (2) of</w:t>
      </w:r>
      <w:r w:rsidR="00DA34C9" w:rsidRPr="002A0389">
        <w:t xml:space="preserve"> </w:t>
      </w:r>
      <w:proofErr w:type="spellStart"/>
      <w:r w:rsidR="00DA34C9" w:rsidRPr="002A0389">
        <w:t>ORS</w:t>
      </w:r>
      <w:proofErr w:type="spellEnd"/>
      <w:r w:rsidR="00DA34C9" w:rsidRPr="002A0389">
        <w:t xml:space="preserve"> 215.213</w:t>
      </w:r>
      <w:r w:rsidR="00700B22">
        <w:fldChar w:fldCharType="begin"/>
      </w:r>
      <w:r w:rsidR="00700B22">
        <w:instrText xml:space="preserve"> TA \l "</w:instrText>
      </w:r>
      <w:r w:rsidR="00700B22" w:rsidRPr="006560F3">
        <w:instrText>ORS 215.213</w:instrText>
      </w:r>
      <w:r w:rsidR="00700B22">
        <w:instrText xml:space="preserve">" \s "ORS 215.213(1) and (2)" \c 2 </w:instrText>
      </w:r>
      <w:r w:rsidR="00700B22">
        <w:fldChar w:fldCharType="end"/>
      </w:r>
      <w:r w:rsidR="00DA34C9">
        <w:t xml:space="preserve"> and </w:t>
      </w:r>
      <w:proofErr w:type="spellStart"/>
      <w:r w:rsidR="00DA34C9">
        <w:t>ORS</w:t>
      </w:r>
      <w:proofErr w:type="spellEnd"/>
      <w:r w:rsidR="00DA34C9">
        <w:t xml:space="preserve"> 215.283</w:t>
      </w:r>
      <w:r w:rsidR="003E553B">
        <w:fldChar w:fldCharType="begin"/>
      </w:r>
      <w:r w:rsidR="003E553B">
        <w:instrText xml:space="preserve"> TA \s "ORS 215.283" </w:instrText>
      </w:r>
      <w:r w:rsidR="003E553B">
        <w:fldChar w:fldCharType="end"/>
      </w:r>
      <w:r w:rsidR="00DA34C9">
        <w:t xml:space="preserve">).  </w:t>
      </w:r>
      <w:r>
        <w:t>Thus, as with other land uses, counties have long retained</w:t>
      </w:r>
      <w:r w:rsidR="00581FC4">
        <w:t xml:space="preserve"> authority and discretion </w:t>
      </w:r>
      <w:r w:rsidR="00753FE3">
        <w:t xml:space="preserve">to approve siting of renewable energy facilities </w:t>
      </w:r>
      <w:r w:rsidR="00581FC4">
        <w:t xml:space="preserve">as conditional uses based on </w:t>
      </w:r>
      <w:r w:rsidR="00DA34C9">
        <w:t>“</w:t>
      </w:r>
      <w:r w:rsidR="00DA34C9" w:rsidRPr="007F5588">
        <w:t xml:space="preserve">legislative criteria of its own that supplement those found in </w:t>
      </w:r>
      <w:proofErr w:type="spellStart"/>
      <w:r w:rsidR="00DA34C9" w:rsidRPr="007F5588">
        <w:t>ORS</w:t>
      </w:r>
      <w:proofErr w:type="spellEnd"/>
      <w:r w:rsidR="00DA34C9" w:rsidRPr="007F5588">
        <w:t xml:space="preserve"> 215.213(2)</w:t>
      </w:r>
      <w:r w:rsidR="007C7781">
        <w:fldChar w:fldCharType="begin"/>
      </w:r>
      <w:r w:rsidR="007C7781">
        <w:instrText xml:space="preserve"> TA \l "</w:instrText>
      </w:r>
      <w:r w:rsidR="007C7781" w:rsidRPr="00D0040D">
        <w:instrText>ORS 215.213(2)</w:instrText>
      </w:r>
      <w:r w:rsidR="007C7781">
        <w:instrText xml:space="preserve">" \s "ORS 215.213(2)" \c 2 </w:instrText>
      </w:r>
      <w:r w:rsidR="007C7781">
        <w:fldChar w:fldCharType="end"/>
      </w:r>
      <w:r w:rsidR="00DA34C9" w:rsidRPr="007F5588">
        <w:t xml:space="preserve"> and 215.283(2</w:t>
      </w:r>
      <w:r w:rsidR="00DA34C9">
        <w:t>)</w:t>
      </w:r>
      <w:r w:rsidR="003E553B">
        <w:fldChar w:fldCharType="begin"/>
      </w:r>
      <w:r w:rsidR="003E553B">
        <w:instrText xml:space="preserve"> TA \l "</w:instrText>
      </w:r>
      <w:r w:rsidR="003E553B" w:rsidRPr="00965CCC">
        <w:instrText>ORS 215.283(2)</w:instrText>
      </w:r>
      <w:r w:rsidR="003E553B">
        <w:instrText xml:space="preserve">" \s "ORS 215.283(2)" \c 2 </w:instrText>
      </w:r>
      <w:r w:rsidR="003E553B">
        <w:fldChar w:fldCharType="end"/>
      </w:r>
      <w:r w:rsidR="00DA34C9">
        <w:t xml:space="preserve">.”  </w:t>
      </w:r>
      <w:proofErr w:type="spellStart"/>
      <w:r w:rsidR="005F1CA2">
        <w:rPr>
          <w:i/>
        </w:rPr>
        <w:t>Brentmar</w:t>
      </w:r>
      <w:proofErr w:type="spellEnd"/>
      <w:r w:rsidR="001A205C">
        <w:t>, 321 Or </w:t>
      </w:r>
      <w:r w:rsidR="005F1CA2">
        <w:t>at 496.</w:t>
      </w:r>
    </w:p>
    <w:p w14:paraId="5781DDA8" w14:textId="77777777" w:rsidR="00DA34C9" w:rsidRDefault="00B46AA3" w:rsidP="003F1F52">
      <w:pPr>
        <w:pStyle w:val="BodyText"/>
      </w:pPr>
      <w:r>
        <w:lastRenderedPageBreak/>
        <w:t xml:space="preserve">For these reasons, it was a natural choice to return authority over </w:t>
      </w:r>
      <w:r w:rsidR="00E3577E">
        <w:t>mid-sized Renewable Energy Facilities</w:t>
      </w:r>
      <w:r>
        <w:t xml:space="preserve"> to counties through </w:t>
      </w:r>
      <w:proofErr w:type="spellStart"/>
      <w:r>
        <w:t>HB</w:t>
      </w:r>
      <w:proofErr w:type="spellEnd"/>
      <w:r>
        <w:t xml:space="preserve"> 2329 when it became apparent that </w:t>
      </w:r>
      <w:proofErr w:type="spellStart"/>
      <w:r>
        <w:t>EFSC</w:t>
      </w:r>
      <w:proofErr w:type="spellEnd"/>
      <w:r>
        <w:t xml:space="preserve"> processes were ill-suited for </w:t>
      </w:r>
      <w:r w:rsidR="00E3577E">
        <w:t>such facilities</w:t>
      </w:r>
      <w:r>
        <w:t>.</w:t>
      </w:r>
    </w:p>
    <w:p w14:paraId="2C21496E" w14:textId="77777777" w:rsidR="00263FAA" w:rsidRPr="00263FAA" w:rsidRDefault="003C6061" w:rsidP="003C6061">
      <w:pPr>
        <w:pStyle w:val="Heading2"/>
      </w:pPr>
      <w:bookmarkStart w:id="11" w:name="_Toc78292823"/>
      <w:r>
        <w:t xml:space="preserve">The </w:t>
      </w:r>
      <w:proofErr w:type="spellStart"/>
      <w:r w:rsidR="00263FAA">
        <w:t>EFSC</w:t>
      </w:r>
      <w:proofErr w:type="spellEnd"/>
      <w:r w:rsidR="00263FAA">
        <w:t xml:space="preserve"> </w:t>
      </w:r>
      <w:r>
        <w:t>Approval Process Grew To Be Ill-Suited F</w:t>
      </w:r>
      <w:r w:rsidR="00263FAA">
        <w:t>or Mid-Sized Renewable Energy Facilities</w:t>
      </w:r>
      <w:r>
        <w:t>.</w:t>
      </w:r>
      <w:bookmarkEnd w:id="11"/>
    </w:p>
    <w:p w14:paraId="140ABACF" w14:textId="640E5FB3" w:rsidR="003F41AC" w:rsidRDefault="00F5700B" w:rsidP="00A10223">
      <w:pPr>
        <w:pStyle w:val="BodyText"/>
      </w:pPr>
      <w:r w:rsidRPr="00263FAA">
        <w:t>In 1975</w:t>
      </w:r>
      <w:r w:rsidR="000011F7">
        <w:t xml:space="preserve"> the year the legislature created </w:t>
      </w:r>
      <w:proofErr w:type="spellStart"/>
      <w:r w:rsidR="000011F7">
        <w:t>EFSC</w:t>
      </w:r>
      <w:proofErr w:type="spellEnd"/>
      <w:r w:rsidRPr="00263FAA">
        <w:t xml:space="preserve">, </w:t>
      </w:r>
      <w:r w:rsidR="00D74E2D" w:rsidRPr="00263FAA">
        <w:t>renewable energy facilities such as wind and solar facilities were not commercially feasible</w:t>
      </w:r>
      <w:r w:rsidR="006F4800" w:rsidRPr="00263FAA">
        <w:t xml:space="preserve">.  </w:t>
      </w:r>
      <w:r w:rsidR="000011F7">
        <w:t xml:space="preserve">The legislature created </w:t>
      </w:r>
      <w:proofErr w:type="spellStart"/>
      <w:r w:rsidR="000011F7">
        <w:t>EFSC</w:t>
      </w:r>
      <w:proofErr w:type="spellEnd"/>
      <w:r w:rsidR="000011F7">
        <w:t xml:space="preserve"> </w:t>
      </w:r>
      <w:r w:rsidR="000011F7" w:rsidRPr="00263FAA">
        <w:t xml:space="preserve">to review large-scale energy projects and left smaller projects within county land use jurisdiction.  </w:t>
      </w:r>
      <w:proofErr w:type="spellStart"/>
      <w:r w:rsidR="003F41AC">
        <w:t>EFSC</w:t>
      </w:r>
      <w:proofErr w:type="spellEnd"/>
      <w:r w:rsidR="003F41AC">
        <w:t xml:space="preserve"> replaced the Nuclear &amp; Thermal Energy Council, which was the predecessor body tasked with siting approval for generation facilities commonly proposed at that time, namely coal, nuclear, and natural gas facilities</w:t>
      </w:r>
      <w:r w:rsidR="004716EF">
        <w:t xml:space="preserve">.  </w:t>
      </w:r>
      <w:r w:rsidR="004716EF">
        <w:rPr>
          <w:i/>
        </w:rPr>
        <w:t>S</w:t>
      </w:r>
      <w:r w:rsidR="003F41AC">
        <w:rPr>
          <w:i/>
        </w:rPr>
        <w:t xml:space="preserve">ee generally </w:t>
      </w:r>
      <w:proofErr w:type="spellStart"/>
      <w:r w:rsidR="003F41AC">
        <w:rPr>
          <w:i/>
        </w:rPr>
        <w:t>Marbet</w:t>
      </w:r>
      <w:proofErr w:type="spellEnd"/>
      <w:r w:rsidR="003F41AC">
        <w:rPr>
          <w:i/>
        </w:rPr>
        <w:t xml:space="preserve"> v. Portland General Electric Co.</w:t>
      </w:r>
      <w:r w:rsidR="003F41AC">
        <w:t>, 277 Or 447, 449–50, 561 P2d 154 (1977)</w:t>
      </w:r>
      <w:r w:rsidR="003E553B">
        <w:fldChar w:fldCharType="begin"/>
      </w:r>
      <w:r w:rsidR="003E553B">
        <w:instrText xml:space="preserve"> TA \l "</w:instrText>
      </w:r>
      <w:r w:rsidR="003E553B" w:rsidRPr="00965CCC">
        <w:rPr>
          <w:i/>
        </w:rPr>
        <w:instrText>Marbet v. Portland General Electric Co.</w:instrText>
      </w:r>
      <w:r w:rsidR="003E553B" w:rsidRPr="00965CCC">
        <w:instrText>, 277 Or 447, 561 P2d 154 (1977)</w:instrText>
      </w:r>
      <w:r w:rsidR="003E553B">
        <w:instrText xml:space="preserve">" \s "Marbet v. Portland General Electric Co., 277 Or 447, 449–50, 561 P2d 154 (1977)" \c 1 </w:instrText>
      </w:r>
      <w:r w:rsidR="003E553B">
        <w:fldChar w:fldCharType="end"/>
      </w:r>
      <w:r w:rsidR="003F41AC">
        <w:t>.</w:t>
      </w:r>
    </w:p>
    <w:p w14:paraId="7AAD535D" w14:textId="114257CE" w:rsidR="001A3DC8" w:rsidRPr="00263FAA" w:rsidRDefault="00B57A0A" w:rsidP="00A10223">
      <w:pPr>
        <w:pStyle w:val="BodyText"/>
      </w:pPr>
      <w:r>
        <w:t xml:space="preserve">The </w:t>
      </w:r>
      <w:proofErr w:type="spellStart"/>
      <w:r w:rsidR="00D74E2D" w:rsidRPr="00263FAA">
        <w:t>EFSC</w:t>
      </w:r>
      <w:proofErr w:type="spellEnd"/>
      <w:r w:rsidR="00D74E2D" w:rsidRPr="00263FAA">
        <w:t xml:space="preserve"> siting</w:t>
      </w:r>
      <w:r w:rsidR="00FE3D1E" w:rsidRPr="00263FAA">
        <w:t xml:space="preserve"> framework vests</w:t>
      </w:r>
      <w:r w:rsidR="006F4800" w:rsidRPr="00263FAA">
        <w:t xml:space="preserve"> significant discretion in the siting council</w:t>
      </w:r>
      <w:r>
        <w:t>, much like counties, over the particular matters within the council’s discretion</w:t>
      </w:r>
      <w:r w:rsidR="006F4800" w:rsidRPr="00263FAA">
        <w:t xml:space="preserve">.  </w:t>
      </w:r>
      <w:r w:rsidR="006F4800" w:rsidRPr="00263FAA">
        <w:rPr>
          <w:i/>
        </w:rPr>
        <w:t>See</w:t>
      </w:r>
      <w:r w:rsidR="006F4800" w:rsidRPr="00263FAA">
        <w:t xml:space="preserve"> </w:t>
      </w:r>
      <w:proofErr w:type="spellStart"/>
      <w:r w:rsidR="006F4800" w:rsidRPr="00A10223">
        <w:t>ORS</w:t>
      </w:r>
      <w:proofErr w:type="spellEnd"/>
      <w:r w:rsidR="006F4800" w:rsidRPr="00A10223">
        <w:t xml:space="preserve"> 469.401(3)</w:t>
      </w:r>
      <w:r w:rsidR="003E553B">
        <w:fldChar w:fldCharType="begin"/>
      </w:r>
      <w:r w:rsidR="003E553B">
        <w:instrText xml:space="preserve"> TA \l "</w:instrText>
      </w:r>
      <w:r w:rsidR="003E553B" w:rsidRPr="00965CCC">
        <w:instrText>ORS 469.401(3)</w:instrText>
      </w:r>
      <w:r w:rsidR="003E553B">
        <w:instrText xml:space="preserve">" \s "ORS 469.401(3)" \c 2 </w:instrText>
      </w:r>
      <w:r w:rsidR="003E553B">
        <w:fldChar w:fldCharType="end"/>
      </w:r>
      <w:r w:rsidR="006F4800" w:rsidRPr="00A10223">
        <w:t xml:space="preserve"> (</w:t>
      </w:r>
      <w:r w:rsidR="006110CF" w:rsidRPr="00A10223">
        <w:t>“</w:t>
      </w:r>
      <w:r w:rsidR="006F4800" w:rsidRPr="00A10223">
        <w:t xml:space="preserve">Subject to the conditions set forth in the site certificate or amended site certificate, any certificate or amended certificate signed by the chairperson of the council shall bind the state and all counties and cities and political </w:t>
      </w:r>
      <w:r w:rsidR="006F4800" w:rsidRPr="00A10223">
        <w:lastRenderedPageBreak/>
        <w:t>subdivisions in this state as to the approval of the site and the construction and operation of the facility.</w:t>
      </w:r>
      <w:r w:rsidR="006110CF" w:rsidRPr="00A10223">
        <w:t>”</w:t>
      </w:r>
      <w:r w:rsidR="006F4800" w:rsidRPr="00A10223">
        <w:t xml:space="preserve">)  </w:t>
      </w:r>
      <w:r w:rsidR="003F41AC">
        <w:rPr>
          <w:color w:val="000000"/>
        </w:rPr>
        <w:t xml:space="preserve">The legislature directed </w:t>
      </w:r>
      <w:proofErr w:type="spellStart"/>
      <w:r w:rsidR="003F41AC">
        <w:rPr>
          <w:color w:val="000000"/>
        </w:rPr>
        <w:t>EFSC</w:t>
      </w:r>
      <w:proofErr w:type="spellEnd"/>
      <w:r w:rsidR="003F41AC">
        <w:rPr>
          <w:color w:val="000000"/>
        </w:rPr>
        <w:t xml:space="preserve"> </w:t>
      </w:r>
      <w:r w:rsidR="003F41AC">
        <w:rPr>
          <w:i/>
          <w:color w:val="000000"/>
        </w:rPr>
        <w:t>inter alia</w:t>
      </w:r>
      <w:r w:rsidR="003F41AC">
        <w:rPr>
          <w:color w:val="000000"/>
        </w:rPr>
        <w:t xml:space="preserve"> to adopt standards and rules for the performance of its vested regulatory functions and “implementation of the energy policy of the State of Oregon set forth in </w:t>
      </w:r>
      <w:proofErr w:type="spellStart"/>
      <w:r w:rsidR="003F41AC">
        <w:rPr>
          <w:color w:val="000000"/>
        </w:rPr>
        <w:t>ORS</w:t>
      </w:r>
      <w:proofErr w:type="spellEnd"/>
      <w:r w:rsidR="003F41AC">
        <w:rPr>
          <w:color w:val="000000"/>
        </w:rPr>
        <w:t xml:space="preserve"> 469.010</w:t>
      </w:r>
      <w:r w:rsidR="003E553B">
        <w:rPr>
          <w:color w:val="000000"/>
        </w:rPr>
        <w:fldChar w:fldCharType="begin"/>
      </w:r>
      <w:r w:rsidR="003E553B">
        <w:instrText xml:space="preserve"> TA \l "</w:instrText>
      </w:r>
      <w:r w:rsidR="003E553B" w:rsidRPr="00965CCC">
        <w:rPr>
          <w:color w:val="000000"/>
        </w:rPr>
        <w:instrText>ORS 469.010</w:instrText>
      </w:r>
      <w:r w:rsidR="003E553B">
        <w:instrText xml:space="preserve">" \s "ORS 469.010" \c 2 </w:instrText>
      </w:r>
      <w:r w:rsidR="003E553B">
        <w:rPr>
          <w:color w:val="000000"/>
        </w:rPr>
        <w:fldChar w:fldCharType="end"/>
      </w:r>
      <w:r w:rsidR="003F41AC">
        <w:rPr>
          <w:color w:val="000000"/>
        </w:rPr>
        <w:t xml:space="preserve"> and 469.030</w:t>
      </w:r>
      <w:r w:rsidR="003E553B">
        <w:rPr>
          <w:color w:val="000000"/>
        </w:rPr>
        <w:fldChar w:fldCharType="begin"/>
      </w:r>
      <w:r w:rsidR="003E553B">
        <w:instrText xml:space="preserve"> TA \l "</w:instrText>
      </w:r>
      <w:r w:rsidR="003E553B" w:rsidRPr="00965CCC">
        <w:rPr>
          <w:color w:val="000000"/>
        </w:rPr>
        <w:instrText>ORS 469.030</w:instrText>
      </w:r>
      <w:r w:rsidR="003E553B">
        <w:instrText xml:space="preserve">" \s "ORS 469.030" \c 2 </w:instrText>
      </w:r>
      <w:r w:rsidR="003E553B">
        <w:rPr>
          <w:color w:val="000000"/>
        </w:rPr>
        <w:fldChar w:fldCharType="end"/>
      </w:r>
      <w:r w:rsidR="003F41AC">
        <w:rPr>
          <w:color w:val="000000"/>
        </w:rPr>
        <w:t xml:space="preserve">[,]” including standards and rules for the siting of energy facilities.  </w:t>
      </w:r>
      <w:proofErr w:type="spellStart"/>
      <w:r w:rsidR="003F41AC">
        <w:rPr>
          <w:color w:val="000000"/>
        </w:rPr>
        <w:t>ORS</w:t>
      </w:r>
      <w:proofErr w:type="spellEnd"/>
      <w:r w:rsidR="003F41AC">
        <w:rPr>
          <w:color w:val="000000"/>
        </w:rPr>
        <w:t xml:space="preserve"> 469.470(2)</w:t>
      </w:r>
      <w:r w:rsidR="003E553B">
        <w:rPr>
          <w:color w:val="000000"/>
        </w:rPr>
        <w:fldChar w:fldCharType="begin"/>
      </w:r>
      <w:r w:rsidR="003E553B">
        <w:instrText xml:space="preserve"> TA \l "</w:instrText>
      </w:r>
      <w:r w:rsidR="003E553B" w:rsidRPr="00965CCC">
        <w:rPr>
          <w:color w:val="000000"/>
        </w:rPr>
        <w:instrText>ORS 469.470(2)</w:instrText>
      </w:r>
      <w:r w:rsidR="003E553B">
        <w:instrText xml:space="preserve">" \s "ORS 469.470(2)" \c 2 </w:instrText>
      </w:r>
      <w:r w:rsidR="003E553B">
        <w:rPr>
          <w:color w:val="000000"/>
        </w:rPr>
        <w:fldChar w:fldCharType="end"/>
      </w:r>
      <w:r w:rsidR="003F41AC">
        <w:rPr>
          <w:color w:val="000000"/>
        </w:rPr>
        <w:t>.</w:t>
      </w:r>
      <w:r w:rsidR="003F41AC" w:rsidRPr="00263FAA">
        <w:t xml:space="preserve"> </w:t>
      </w:r>
      <w:r w:rsidR="003F41AC">
        <w:t xml:space="preserve"> </w:t>
      </w:r>
      <w:r w:rsidR="003F41AC">
        <w:rPr>
          <w:color w:val="000000"/>
        </w:rPr>
        <w:t xml:space="preserve">There is “no doubt that the council is directed to exercise its own judgment in setting standards beyond the policies stated in the statute itself, though of course consistent with those policies.”  </w:t>
      </w:r>
      <w:proofErr w:type="spellStart"/>
      <w:r w:rsidR="003F41AC">
        <w:rPr>
          <w:i/>
          <w:color w:val="000000"/>
        </w:rPr>
        <w:t>Marbet</w:t>
      </w:r>
      <w:proofErr w:type="spellEnd"/>
      <w:r w:rsidR="003F41AC">
        <w:rPr>
          <w:color w:val="000000"/>
        </w:rPr>
        <w:t>, 277 Or at 459.</w:t>
      </w:r>
      <w:r w:rsidR="003E553B">
        <w:rPr>
          <w:color w:val="000000"/>
        </w:rPr>
        <w:fldChar w:fldCharType="begin"/>
      </w:r>
      <w:r w:rsidR="003E553B">
        <w:instrText xml:space="preserve"> TA \s "Marbet v. Portland General Electric Co., 277 Or 447, 449–50, 561 P2d 154 (1977)" </w:instrText>
      </w:r>
      <w:r w:rsidR="003E553B">
        <w:rPr>
          <w:color w:val="000000"/>
        </w:rPr>
        <w:fldChar w:fldCharType="end"/>
      </w:r>
      <w:r w:rsidR="003F41AC">
        <w:rPr>
          <w:color w:val="000000"/>
        </w:rPr>
        <w:t xml:space="preserve">  “</w:t>
      </w:r>
      <w:r w:rsidR="003F41AC" w:rsidRPr="0021545F">
        <w:rPr>
          <w:color w:val="000000"/>
        </w:rPr>
        <w:t xml:space="preserve">The act gives the council wide discretion </w:t>
      </w:r>
      <w:r w:rsidR="003F41AC">
        <w:rPr>
          <w:color w:val="000000"/>
        </w:rPr>
        <w:t>* * * [that]</w:t>
      </w:r>
      <w:r w:rsidR="003F41AC" w:rsidRPr="0021545F">
        <w:rPr>
          <w:color w:val="000000"/>
        </w:rPr>
        <w:t xml:space="preserve"> includes judgments of two kinds: judgments about technological feasibility, economic projections, costs, safety, environmental consequences, and similar probabilities that will call for factual information and agency expertise, and judgments about the relative importance of conflicting goals, about values and priorities, in short, policy judgments.</w:t>
      </w:r>
      <w:r w:rsidR="003F41AC">
        <w:rPr>
          <w:color w:val="000000"/>
        </w:rPr>
        <w:t xml:space="preserve">”  </w:t>
      </w:r>
      <w:r w:rsidR="003F41AC">
        <w:rPr>
          <w:i/>
          <w:color w:val="000000"/>
        </w:rPr>
        <w:t>Id.</w:t>
      </w:r>
      <w:r w:rsidR="003F41AC">
        <w:rPr>
          <w:color w:val="000000"/>
        </w:rPr>
        <w:t xml:space="preserve"> at 462–63</w:t>
      </w:r>
      <w:r w:rsidR="003E553B">
        <w:rPr>
          <w:color w:val="000000"/>
        </w:rPr>
        <w:fldChar w:fldCharType="begin"/>
      </w:r>
      <w:r w:rsidR="003E553B">
        <w:instrText xml:space="preserve"> TA \s "Marbet v. Portland General Electric Co., 277 Or 447, 449–50, 561 P2d 154 (1977)" </w:instrText>
      </w:r>
      <w:r w:rsidR="003E553B">
        <w:rPr>
          <w:color w:val="000000"/>
        </w:rPr>
        <w:fldChar w:fldCharType="end"/>
      </w:r>
      <w:r w:rsidR="003F41AC">
        <w:rPr>
          <w:color w:val="000000"/>
        </w:rPr>
        <w:t>.</w:t>
      </w:r>
    </w:p>
    <w:p w14:paraId="66641184" w14:textId="2CF9DEB4" w:rsidR="00D74E2D" w:rsidRPr="00263FAA" w:rsidRDefault="00FE3D1E" w:rsidP="007F16EB">
      <w:pPr>
        <w:pStyle w:val="BodyText"/>
      </w:pPr>
      <w:r w:rsidRPr="00263FAA">
        <w:t xml:space="preserve">Renewable energy </w:t>
      </w:r>
      <w:r w:rsidR="00D74E2D" w:rsidRPr="00263FAA">
        <w:t xml:space="preserve">began to develop in Oregon </w:t>
      </w:r>
      <w:r w:rsidRPr="00263FAA">
        <w:t>in the early 2000s</w:t>
      </w:r>
      <w:r w:rsidR="00B57A0A">
        <w:t>,</w:t>
      </w:r>
      <w:r w:rsidRPr="00263FAA">
        <w:t xml:space="preserve"> and </w:t>
      </w:r>
      <w:r w:rsidR="00CC2E00" w:rsidRPr="00263FAA">
        <w:t xml:space="preserve">this shift </w:t>
      </w:r>
      <w:r w:rsidR="003F41AC">
        <w:t>meaningfully</w:t>
      </w:r>
      <w:r w:rsidR="00D74E2D" w:rsidRPr="00263FAA">
        <w:t xml:space="preserve"> changed the siting </w:t>
      </w:r>
      <w:r w:rsidR="006110CF" w:rsidRPr="00263FAA">
        <w:t xml:space="preserve">characteristics </w:t>
      </w:r>
      <w:r w:rsidR="00D74E2D" w:rsidRPr="00263FAA">
        <w:t xml:space="preserve">of </w:t>
      </w:r>
      <w:r w:rsidR="00B57A0A">
        <w:t xml:space="preserve">proposed </w:t>
      </w:r>
      <w:r w:rsidR="00D74E2D" w:rsidRPr="00263FAA">
        <w:t xml:space="preserve">energy facilities.  </w:t>
      </w:r>
      <w:r w:rsidR="00B57A0A">
        <w:t>Unlike</w:t>
      </w:r>
      <w:r w:rsidR="003F41AC">
        <w:t xml:space="preserve"> utility-owned facilities,</w:t>
      </w:r>
      <w:r w:rsidR="00D74E2D" w:rsidRPr="00263FAA">
        <w:t xml:space="preserve"> renewable energy projects are large</w:t>
      </w:r>
      <w:r w:rsidR="001A3DC8" w:rsidRPr="00263FAA">
        <w:t>ly</w:t>
      </w:r>
      <w:r w:rsidR="00D74E2D" w:rsidRPr="00263FAA">
        <w:t xml:space="preserve"> </w:t>
      </w:r>
      <w:r w:rsidR="00D74E2D" w:rsidRPr="00263FAA">
        <w:lastRenderedPageBreak/>
        <w:t xml:space="preserve">developed by independent power producers in a competitive environment.  </w:t>
      </w:r>
      <w:r w:rsidR="001A3DC8" w:rsidRPr="00263FAA">
        <w:t xml:space="preserve">Counties have gained significant experience in siting these </w:t>
      </w:r>
      <w:r w:rsidR="00CC2E00" w:rsidRPr="00263FAA">
        <w:t xml:space="preserve">kinds of </w:t>
      </w:r>
      <w:r w:rsidR="001A3DC8" w:rsidRPr="00263FAA">
        <w:t xml:space="preserve">facilities both in their advisory role to </w:t>
      </w:r>
      <w:proofErr w:type="spellStart"/>
      <w:r w:rsidR="001A3DC8" w:rsidRPr="00263FAA">
        <w:t>EFSC</w:t>
      </w:r>
      <w:proofErr w:type="spellEnd"/>
      <w:r w:rsidR="001A3DC8" w:rsidRPr="00263FAA">
        <w:t xml:space="preserve"> on land use standards as well as through direct permitting under county land use jurisdiction retained under </w:t>
      </w:r>
      <w:proofErr w:type="spellStart"/>
      <w:r w:rsidR="001A3DC8" w:rsidRPr="00263FAA">
        <w:t>ORS</w:t>
      </w:r>
      <w:proofErr w:type="spellEnd"/>
      <w:r w:rsidR="00BE5535">
        <w:t> </w:t>
      </w:r>
      <w:r w:rsidR="001A3DC8" w:rsidRPr="00263FAA">
        <w:t>215.283(2)(g)</w:t>
      </w:r>
      <w:r w:rsidR="003E553B">
        <w:fldChar w:fldCharType="begin"/>
      </w:r>
      <w:r w:rsidR="003E553B">
        <w:instrText xml:space="preserve"> TA \s "ORS 215.283(2)(g)" </w:instrText>
      </w:r>
      <w:r w:rsidR="003E553B">
        <w:fldChar w:fldCharType="end"/>
      </w:r>
      <w:r w:rsidR="001A3DC8" w:rsidRPr="00263FAA">
        <w:t xml:space="preserve"> and OAR 660-033-0130</w:t>
      </w:r>
      <w:r w:rsidR="00263FAA">
        <w:t>(37)</w:t>
      </w:r>
      <w:r w:rsidR="003E553B">
        <w:fldChar w:fldCharType="begin"/>
      </w:r>
      <w:r w:rsidR="003E553B">
        <w:instrText xml:space="preserve"> TA \l "</w:instrText>
      </w:r>
      <w:r w:rsidR="003E553B" w:rsidRPr="00965CCC">
        <w:instrText>OAR 660-033-0130(37)</w:instrText>
      </w:r>
      <w:r w:rsidR="003E553B">
        <w:instrText xml:space="preserve">" \s "OAR 660-033-0130(37)" \c 4 </w:instrText>
      </w:r>
      <w:r w:rsidR="003E553B">
        <w:fldChar w:fldCharType="end"/>
      </w:r>
      <w:r w:rsidR="00263FAA">
        <w:t>, (38)</w:t>
      </w:r>
      <w:r w:rsidR="00674AC6">
        <w:t>.</w:t>
      </w:r>
      <w:r w:rsidR="001A3DC8" w:rsidRPr="00263FAA">
        <w:t xml:space="preserve"> </w:t>
      </w:r>
      <w:r w:rsidR="008E1059">
        <w:rPr>
          <w:i/>
        </w:rPr>
        <w:t>See, e.g.</w:t>
      </w:r>
      <w:r w:rsidR="008E1059">
        <w:t>,</w:t>
      </w:r>
      <w:r w:rsidR="0028032C">
        <w:t xml:space="preserve"> </w:t>
      </w:r>
      <w:r w:rsidR="00744CE7" w:rsidRPr="00F90530">
        <w:t>App-</w:t>
      </w:r>
      <w:r w:rsidR="00CF5149" w:rsidRPr="00F90530">
        <w:t>8</w:t>
      </w:r>
      <w:r w:rsidR="008E1059" w:rsidRPr="00F90530">
        <w:t xml:space="preserve"> </w:t>
      </w:r>
      <w:r w:rsidR="00F90530">
        <w:t>(</w:t>
      </w:r>
      <w:r w:rsidR="0028032C" w:rsidRPr="00F90530">
        <w:t>February 28, 2019</w:t>
      </w:r>
      <w:r w:rsidR="00F90530">
        <w:t>,</w:t>
      </w:r>
      <w:r w:rsidR="0028032C" w:rsidRPr="00F90530">
        <w:t xml:space="preserve"> Testimony of Ann </w:t>
      </w:r>
      <w:proofErr w:type="spellStart"/>
      <w:r w:rsidR="0028032C" w:rsidRPr="00F90530">
        <w:t>Beier</w:t>
      </w:r>
      <w:proofErr w:type="spellEnd"/>
      <w:r w:rsidR="0028032C" w:rsidRPr="00F90530">
        <w:t xml:space="preserve">, Crook County Community Development Director noting </w:t>
      </w:r>
      <w:r w:rsidR="00697C46" w:rsidRPr="00F90530">
        <w:t>“Crook C</w:t>
      </w:r>
      <w:r w:rsidR="0028032C" w:rsidRPr="00F90530">
        <w:t>ounty has granted land use approval</w:t>
      </w:r>
      <w:r w:rsidR="00697C46" w:rsidRPr="00F90530">
        <w:t>s</w:t>
      </w:r>
      <w:r w:rsidR="0028032C" w:rsidRPr="00F90530">
        <w:t xml:space="preserve"> for six commercial solar facilities ranging in size from 180 acres to just over 300 acres</w:t>
      </w:r>
      <w:r w:rsidR="00F90530">
        <w:t>)</w:t>
      </w:r>
      <w:r w:rsidR="008E1059" w:rsidRPr="00F90530">
        <w:t>; West Prineville Solar ER 191</w:t>
      </w:r>
      <w:r w:rsidR="008E1059">
        <w:t>–224.</w:t>
      </w:r>
    </w:p>
    <w:p w14:paraId="2800E32D" w14:textId="497CC17F" w:rsidR="00450ECE" w:rsidRDefault="00AD6958" w:rsidP="007F16EB">
      <w:pPr>
        <w:pStyle w:val="BodyText"/>
      </w:pPr>
      <w:r w:rsidRPr="00263FAA">
        <w:t xml:space="preserve">When the legislature began to consider </w:t>
      </w:r>
      <w:proofErr w:type="spellStart"/>
      <w:r w:rsidRPr="00263FAA">
        <w:t>HB</w:t>
      </w:r>
      <w:proofErr w:type="spellEnd"/>
      <w:r w:rsidRPr="00263FAA">
        <w:t xml:space="preserve"> 2329</w:t>
      </w:r>
      <w:r w:rsidR="004716EF">
        <w:t xml:space="preserve"> and whether the siting of mid-sized Renewable Energy Facilities should be </w:t>
      </w:r>
      <w:r w:rsidR="008E1059">
        <w:t>decided by counties through</w:t>
      </w:r>
      <w:r w:rsidR="004716EF">
        <w:t xml:space="preserve"> land use permit decisions rather than</w:t>
      </w:r>
      <w:r w:rsidR="008E1059">
        <w:t xml:space="preserve"> by</w:t>
      </w:r>
      <w:r w:rsidR="004716EF">
        <w:t xml:space="preserve"> </w:t>
      </w:r>
      <w:proofErr w:type="spellStart"/>
      <w:r w:rsidR="004716EF">
        <w:t>EFSC</w:t>
      </w:r>
      <w:proofErr w:type="spellEnd"/>
      <w:r w:rsidRPr="00263FAA">
        <w:t xml:space="preserve">, </w:t>
      </w:r>
      <w:proofErr w:type="spellStart"/>
      <w:r w:rsidRPr="00263FAA">
        <w:t>CREA</w:t>
      </w:r>
      <w:proofErr w:type="spellEnd"/>
      <w:r w:rsidRPr="00263FAA">
        <w:t xml:space="preserve"> and </w:t>
      </w:r>
      <w:r w:rsidR="008E1059">
        <w:t>others testified before the legislature</w:t>
      </w:r>
      <w:r w:rsidRPr="00263FAA">
        <w:t xml:space="preserve"> and participated in the </w:t>
      </w:r>
      <w:r w:rsidR="008E1059">
        <w:t xml:space="preserve">legislative </w:t>
      </w:r>
      <w:r w:rsidRPr="00263FAA">
        <w:t>process</w:t>
      </w:r>
      <w:r w:rsidR="008E1059">
        <w:t xml:space="preserve"> during which </w:t>
      </w:r>
      <w:proofErr w:type="spellStart"/>
      <w:r w:rsidR="008E1059">
        <w:t>HB</w:t>
      </w:r>
      <w:proofErr w:type="spellEnd"/>
      <w:r w:rsidR="008E1059">
        <w:t xml:space="preserve"> 2329 was amended several times</w:t>
      </w:r>
      <w:r w:rsidRPr="00263FAA">
        <w:t>.</w:t>
      </w:r>
      <w:r>
        <w:t xml:space="preserve"> </w:t>
      </w:r>
      <w:r w:rsidR="008F24DA">
        <w:t xml:space="preserve"> </w:t>
      </w:r>
      <w:r w:rsidR="005735FF">
        <w:t>Industry representatives experienced with the development of r</w:t>
      </w:r>
      <w:r w:rsidR="008F24DA">
        <w:t xml:space="preserve">enewable energy </w:t>
      </w:r>
      <w:r w:rsidR="005735FF">
        <w:t>facilities</w:t>
      </w:r>
      <w:r w:rsidR="008F24DA">
        <w:t xml:space="preserve"> testified to the lengthy, costly</w:t>
      </w:r>
      <w:r w:rsidR="005735FF">
        <w:t>,</w:t>
      </w:r>
      <w:r w:rsidR="008F24DA">
        <w:t xml:space="preserve"> and sometimes cumbersome </w:t>
      </w:r>
      <w:proofErr w:type="spellStart"/>
      <w:r w:rsidR="005735FF">
        <w:t>EFSC</w:t>
      </w:r>
      <w:proofErr w:type="spellEnd"/>
      <w:r w:rsidR="005735FF">
        <w:t xml:space="preserve"> siting process </w:t>
      </w:r>
      <w:r w:rsidR="00E3577E">
        <w:t xml:space="preserve">and that </w:t>
      </w:r>
      <w:r w:rsidR="005735FF">
        <w:t xml:space="preserve">its requirements </w:t>
      </w:r>
      <w:r w:rsidR="00E3577E">
        <w:t xml:space="preserve">were </w:t>
      </w:r>
      <w:r w:rsidR="005735FF">
        <w:t xml:space="preserve">ill-suited to the </w:t>
      </w:r>
      <w:r w:rsidR="008F24DA">
        <w:t xml:space="preserve">siting requirements </w:t>
      </w:r>
      <w:r w:rsidR="005735FF">
        <w:t xml:space="preserve">and characteristics of </w:t>
      </w:r>
      <w:r w:rsidR="00E3577E">
        <w:t>mid-sized Renewable Energy Facilities</w:t>
      </w:r>
      <w:r w:rsidR="00EB27EE">
        <w:t xml:space="preserve">.  </w:t>
      </w:r>
      <w:r w:rsidR="00313D10" w:rsidRPr="00313D10">
        <w:rPr>
          <w:i/>
        </w:rPr>
        <w:t>See</w:t>
      </w:r>
      <w:r w:rsidR="001A2099">
        <w:t>,</w:t>
      </w:r>
      <w:r w:rsidR="00313D10" w:rsidRPr="00313D10">
        <w:rPr>
          <w:i/>
        </w:rPr>
        <w:t xml:space="preserve"> e.g.</w:t>
      </w:r>
      <w:r w:rsidR="00313D10">
        <w:t>, West Prineville Solar ER</w:t>
      </w:r>
      <w:r w:rsidR="001A2099">
        <w:t> </w:t>
      </w:r>
      <w:r w:rsidR="00313D10">
        <w:t>045</w:t>
      </w:r>
      <w:r w:rsidR="001A2099">
        <w:t>–</w:t>
      </w:r>
      <w:r w:rsidR="00313D10">
        <w:t xml:space="preserve">046.  </w:t>
      </w:r>
      <w:proofErr w:type="spellStart"/>
      <w:r w:rsidR="00EB27EE">
        <w:t>CREA</w:t>
      </w:r>
      <w:proofErr w:type="spellEnd"/>
      <w:r w:rsidR="00EB27EE">
        <w:t xml:space="preserve"> </w:t>
      </w:r>
      <w:r w:rsidR="00980CE6">
        <w:t xml:space="preserve">expressed concern that the </w:t>
      </w:r>
      <w:proofErr w:type="spellStart"/>
      <w:r w:rsidR="00980CE6">
        <w:t>EFSC</w:t>
      </w:r>
      <w:proofErr w:type="spellEnd"/>
      <w:r w:rsidR="00980CE6">
        <w:t xml:space="preserve"> process is “overly cumbersome, expensive and time consuming” and </w:t>
      </w:r>
      <w:r w:rsidR="00395EC7">
        <w:t xml:space="preserve">support for benefits like </w:t>
      </w:r>
      <w:r w:rsidR="008F24DA">
        <w:lastRenderedPageBreak/>
        <w:t xml:space="preserve">economic improvement, </w:t>
      </w:r>
      <w:r w:rsidR="00395EC7">
        <w:t xml:space="preserve">awareness of clean energy, and community pride that </w:t>
      </w:r>
      <w:r w:rsidR="008F24DA">
        <w:t xml:space="preserve">flow to communities </w:t>
      </w:r>
      <w:r w:rsidR="00395EC7">
        <w:t xml:space="preserve">able to locally permit small </w:t>
      </w:r>
      <w:r w:rsidR="008F24DA">
        <w:t>and</w:t>
      </w:r>
      <w:r w:rsidR="00EB27EE">
        <w:t xml:space="preserve"> mid-sized </w:t>
      </w:r>
      <w:r w:rsidR="00395EC7">
        <w:t xml:space="preserve">renewable </w:t>
      </w:r>
      <w:r w:rsidR="00DA34C9">
        <w:t xml:space="preserve">energy </w:t>
      </w:r>
      <w:r w:rsidR="00EB27EE">
        <w:t xml:space="preserve">projects through </w:t>
      </w:r>
      <w:r w:rsidR="00395EC7">
        <w:t>county processes</w:t>
      </w:r>
      <w:r w:rsidR="006110CF">
        <w:t xml:space="preserve">.  </w:t>
      </w:r>
      <w:r w:rsidR="00744CE7" w:rsidRPr="001B3AF8">
        <w:t>App-</w:t>
      </w:r>
      <w:r w:rsidR="00CF5149" w:rsidRPr="001B3AF8">
        <w:t>23</w:t>
      </w:r>
      <w:r w:rsidR="001B3AF8">
        <w:t xml:space="preserve"> </w:t>
      </w:r>
      <w:r w:rsidR="001B3AF8" w:rsidRPr="001B3AF8">
        <w:t>(March 4, 2019</w:t>
      </w:r>
      <w:r w:rsidR="001B3AF8">
        <w:t>,</w:t>
      </w:r>
      <w:r w:rsidR="001B3AF8" w:rsidRPr="001B3AF8">
        <w:t xml:space="preserve"> Testimony of Brian </w:t>
      </w:r>
      <w:proofErr w:type="spellStart"/>
      <w:r w:rsidR="001B3AF8" w:rsidRPr="001B3AF8">
        <w:t>Skeahan</w:t>
      </w:r>
      <w:proofErr w:type="spellEnd"/>
      <w:r w:rsidR="001B3AF8" w:rsidRPr="001B3AF8">
        <w:t>, Executive Director</w:t>
      </w:r>
      <w:r w:rsidR="001B3AF8">
        <w:t>,</w:t>
      </w:r>
      <w:r w:rsidR="001B3AF8" w:rsidRPr="001B3AF8">
        <w:t xml:space="preserve"> Community Renewable Energy Associa</w:t>
      </w:r>
      <w:r w:rsidR="003B52B8">
        <w:t>t</w:t>
      </w:r>
      <w:r w:rsidR="001B3AF8" w:rsidRPr="001B3AF8">
        <w:t>ion</w:t>
      </w:r>
      <w:r w:rsidR="006E5963">
        <w:t>).</w:t>
      </w:r>
      <w:r w:rsidR="009D1443" w:rsidRPr="001B3AF8">
        <w:rPr>
          <w:rStyle w:val="FootnoteReference"/>
        </w:rPr>
        <w:footnoteReference w:id="1"/>
      </w:r>
      <w:r w:rsidR="00ED2868">
        <w:t xml:space="preserve"> </w:t>
      </w:r>
    </w:p>
    <w:p w14:paraId="4517F03E" w14:textId="77777777" w:rsidR="00EB27EE" w:rsidRDefault="00450ECE" w:rsidP="007F16EB">
      <w:pPr>
        <w:pStyle w:val="BodyText"/>
      </w:pPr>
      <w:r>
        <w:t>As discussed above, co</w:t>
      </w:r>
      <w:r w:rsidR="004716EF">
        <w:t xml:space="preserve">unties </w:t>
      </w:r>
      <w:r w:rsidR="00395EC7">
        <w:t xml:space="preserve">possess </w:t>
      </w:r>
      <w:r w:rsidR="004716EF">
        <w:t>demonstrated</w:t>
      </w:r>
      <w:r w:rsidR="00395EC7">
        <w:t>,</w:t>
      </w:r>
      <w:r w:rsidR="004716EF">
        <w:t xml:space="preserve"> subject</w:t>
      </w:r>
      <w:r w:rsidR="00395EC7">
        <w:t>-</w:t>
      </w:r>
      <w:r w:rsidR="004716EF">
        <w:t xml:space="preserve">matter </w:t>
      </w:r>
      <w:r w:rsidR="00395EC7">
        <w:t xml:space="preserve">competency and expertise in siting renewable energy facilities and land use permitting decisions. </w:t>
      </w:r>
      <w:r>
        <w:t xml:space="preserve"> </w:t>
      </w:r>
      <w:r w:rsidR="00395EC7">
        <w:t xml:space="preserve">And, </w:t>
      </w:r>
      <w:r>
        <w:t>a county’s community-oriented process is quicker and less expensive while allowing closer oversight by local decision-makers most knowledgeable about t</w:t>
      </w:r>
      <w:r w:rsidR="00D31F8E">
        <w:t>he best</w:t>
      </w:r>
      <w:r w:rsidR="00425908">
        <w:t xml:space="preserve"> interests of the people in their county</w:t>
      </w:r>
      <w:r>
        <w:t xml:space="preserve">, </w:t>
      </w:r>
      <w:r w:rsidR="00395EC7">
        <w:t>as intended by SB 100</w:t>
      </w:r>
      <w:r w:rsidR="00EB27EE">
        <w:t>.</w:t>
      </w:r>
      <w:r w:rsidR="006110CF">
        <w:rPr>
          <w:rStyle w:val="FootnoteReference"/>
        </w:rPr>
        <w:footnoteReference w:id="2"/>
      </w:r>
    </w:p>
    <w:p w14:paraId="42684B85" w14:textId="77777777" w:rsidR="00382C5B" w:rsidRDefault="00382C5B" w:rsidP="007F16EB">
      <w:pPr>
        <w:pStyle w:val="BodyText"/>
      </w:pPr>
      <w:r>
        <w:t xml:space="preserve">The legislature enacted </w:t>
      </w:r>
      <w:proofErr w:type="spellStart"/>
      <w:r>
        <w:t>HB</w:t>
      </w:r>
      <w:proofErr w:type="spellEnd"/>
      <w:r>
        <w:t xml:space="preserve"> 2329 with </w:t>
      </w:r>
      <w:r w:rsidR="00425908">
        <w:t xml:space="preserve">knowledge about the benefits of county land use permitting processes within the statewide coordinated </w:t>
      </w:r>
      <w:r w:rsidR="00425908">
        <w:lastRenderedPageBreak/>
        <w:t xml:space="preserve">framework </w:t>
      </w:r>
      <w:r>
        <w:t xml:space="preserve">and with the purpose of remedying the issues </w:t>
      </w:r>
      <w:r w:rsidR="00EB7259">
        <w:t>f</w:t>
      </w:r>
      <w:r w:rsidR="00DA34C9">
        <w:t xml:space="preserve">acing </w:t>
      </w:r>
      <w:r w:rsidR="00EB7259">
        <w:t xml:space="preserve">developers of </w:t>
      </w:r>
      <w:r w:rsidR="00E3577E">
        <w:t>mid-s</w:t>
      </w:r>
      <w:r w:rsidR="00CF4947">
        <w:t xml:space="preserve">ized </w:t>
      </w:r>
      <w:r w:rsidR="00E3577E">
        <w:t>R</w:t>
      </w:r>
      <w:r w:rsidR="00DA34C9">
        <w:t xml:space="preserve">enewable </w:t>
      </w:r>
      <w:r w:rsidR="00E3577E">
        <w:t>Energy F</w:t>
      </w:r>
      <w:r w:rsidR="00DA34C9">
        <w:t>acilities</w:t>
      </w:r>
      <w:r w:rsidR="00EB7259">
        <w:t xml:space="preserve"> using</w:t>
      </w:r>
      <w:r>
        <w:t xml:space="preserve"> </w:t>
      </w:r>
      <w:proofErr w:type="spellStart"/>
      <w:r>
        <w:t>EFSC’s</w:t>
      </w:r>
      <w:proofErr w:type="spellEnd"/>
      <w:r>
        <w:t xml:space="preserve"> siting process.</w:t>
      </w:r>
    </w:p>
    <w:p w14:paraId="362614B8" w14:textId="77777777" w:rsidR="00674AC6" w:rsidRDefault="00C3512E" w:rsidP="003C6061">
      <w:pPr>
        <w:pStyle w:val="Heading2"/>
      </w:pPr>
      <w:bookmarkStart w:id="12" w:name="_Toc78292824"/>
      <w:r>
        <w:t xml:space="preserve">The Legislature Intended </w:t>
      </w:r>
      <w:proofErr w:type="spellStart"/>
      <w:r w:rsidR="003C6061">
        <w:t>HB</w:t>
      </w:r>
      <w:proofErr w:type="spellEnd"/>
      <w:r w:rsidR="003C6061">
        <w:t xml:space="preserve"> 2329 to Streamline the Approval Process For Mid-Sized Renewable Energy Facilities </w:t>
      </w:r>
      <w:r>
        <w:t xml:space="preserve">By </w:t>
      </w:r>
      <w:r w:rsidR="003C6061">
        <w:t>Transferring the Approval Author</w:t>
      </w:r>
      <w:r w:rsidR="00701064">
        <w:t xml:space="preserve">ity </w:t>
      </w:r>
      <w:r w:rsidR="009E22B2">
        <w:t xml:space="preserve">From </w:t>
      </w:r>
      <w:proofErr w:type="spellStart"/>
      <w:r w:rsidR="009E22B2">
        <w:t>EFSC</w:t>
      </w:r>
      <w:proofErr w:type="spellEnd"/>
      <w:r w:rsidR="009E22B2">
        <w:t xml:space="preserve"> </w:t>
      </w:r>
      <w:r w:rsidR="00701064">
        <w:t>to Counties</w:t>
      </w:r>
      <w:r w:rsidR="003C6061">
        <w:t>.</w:t>
      </w:r>
      <w:bookmarkEnd w:id="12"/>
    </w:p>
    <w:p w14:paraId="6DF5A3CB" w14:textId="13C6DB6B" w:rsidR="00CF4947" w:rsidRDefault="00CF4947" w:rsidP="007F16EB">
      <w:pPr>
        <w:pStyle w:val="BodyText"/>
      </w:pPr>
      <w:r>
        <w:t xml:space="preserve">While the Legislature included some siting criteria in </w:t>
      </w:r>
      <w:proofErr w:type="spellStart"/>
      <w:r>
        <w:t>HB</w:t>
      </w:r>
      <w:proofErr w:type="spellEnd"/>
      <w:r>
        <w:t xml:space="preserve"> 2329, it did so to provide guidance for a county’s exercise of authority and discretion—like </w:t>
      </w:r>
      <w:proofErr w:type="spellStart"/>
      <w:r>
        <w:t>LCDC’s</w:t>
      </w:r>
      <w:proofErr w:type="spellEnd"/>
      <w:r>
        <w:t xml:space="preserve"> statewide goals and guidelines—not to supplant a county’s discretion and judgment as a legislative body </w:t>
      </w:r>
      <w:r w:rsidR="00D31F8E">
        <w:t>by prescribing rigid substantive standards</w:t>
      </w:r>
      <w:r w:rsidR="005B23B3">
        <w:t xml:space="preserve"> at odds with the purpose of </w:t>
      </w:r>
      <w:proofErr w:type="spellStart"/>
      <w:r w:rsidR="005B23B3">
        <w:t>HB</w:t>
      </w:r>
      <w:proofErr w:type="spellEnd"/>
      <w:r w:rsidR="005B23B3">
        <w:t xml:space="preserve"> 2329</w:t>
      </w:r>
      <w:r w:rsidR="00D31F8E">
        <w:t>.</w:t>
      </w:r>
      <w:r w:rsidR="005B23B3">
        <w:t xml:space="preserve"> </w:t>
      </w:r>
      <w:r w:rsidR="00652639">
        <w:t>This is true for the bill as a whole and for the standards addressing the Wildlife Policy that are material to this appeal.</w:t>
      </w:r>
    </w:p>
    <w:p w14:paraId="0399917E" w14:textId="1D3D5F33" w:rsidR="00103C82" w:rsidRDefault="00AD6958" w:rsidP="007F16EB">
      <w:pPr>
        <w:pStyle w:val="BodyText"/>
      </w:pPr>
      <w:r>
        <w:t xml:space="preserve">One </w:t>
      </w:r>
      <w:r w:rsidR="00D31F8E">
        <w:t>public concern</w:t>
      </w:r>
      <w:r w:rsidR="003F41AC">
        <w:t xml:space="preserve"> about </w:t>
      </w:r>
      <w:proofErr w:type="spellStart"/>
      <w:r w:rsidR="00D31F8E">
        <w:t>HB</w:t>
      </w:r>
      <w:proofErr w:type="spellEnd"/>
      <w:r w:rsidR="00D31F8E">
        <w:t xml:space="preserve"> 2329</w:t>
      </w:r>
      <w:r>
        <w:t xml:space="preserve"> was how counties might be equipped to address “substantial conflicts with wildlife habitat” in their local land use proceedings. </w:t>
      </w:r>
      <w:r w:rsidR="00294A2F">
        <w:t xml:space="preserve"> </w:t>
      </w:r>
      <w:r w:rsidR="00191F53" w:rsidRPr="001C4978">
        <w:t>App-</w:t>
      </w:r>
      <w:r w:rsidR="00191F53">
        <w:t>21 (February 28, 2019, Testimony of 1000 Friends of Oregon)</w:t>
      </w:r>
      <w:r w:rsidR="00103C82">
        <w:t xml:space="preserve">. </w:t>
      </w:r>
      <w:r>
        <w:t xml:space="preserve"> </w:t>
      </w:r>
      <w:r w:rsidR="00D31F8E">
        <w:t xml:space="preserve">For example, 1000 Friends of Oregon (“Friends”) commented that it had concerns </w:t>
      </w:r>
      <w:r w:rsidR="00065A23">
        <w:t xml:space="preserve">about the diversity </w:t>
      </w:r>
      <w:r w:rsidR="00D31F8E">
        <w:t xml:space="preserve">of </w:t>
      </w:r>
      <w:r w:rsidR="00065A23">
        <w:t xml:space="preserve">comprehensive plan and </w:t>
      </w:r>
      <w:r w:rsidR="00D31F8E">
        <w:t xml:space="preserve">zoning </w:t>
      </w:r>
      <w:r w:rsidR="00065A23">
        <w:t>ordinance provisions</w:t>
      </w:r>
      <w:r w:rsidR="00D31F8E">
        <w:t xml:space="preserve"> among counties as the decision-makers under the legislation</w:t>
      </w:r>
      <w:r w:rsidR="00065A23">
        <w:t xml:space="preserve">, </w:t>
      </w:r>
      <w:r w:rsidR="00D31F8E">
        <w:t xml:space="preserve">observing that most counties </w:t>
      </w:r>
      <w:r w:rsidR="00103C82">
        <w:t xml:space="preserve">“have not updated their Goal 5 resources inventories for many years. And, they are not required to apply </w:t>
      </w:r>
      <w:proofErr w:type="spellStart"/>
      <w:r w:rsidR="00103C82">
        <w:t>ODFW’s</w:t>
      </w:r>
      <w:proofErr w:type="spellEnd"/>
      <w:r w:rsidR="00103C82">
        <w:t xml:space="preserve"> Habitat Mitigation Program.”  </w:t>
      </w:r>
      <w:r w:rsidR="00512E23" w:rsidRPr="00512E23">
        <w:rPr>
          <w:i/>
        </w:rPr>
        <w:t>Id</w:t>
      </w:r>
      <w:r w:rsidR="00512E23">
        <w:t>.</w:t>
      </w:r>
    </w:p>
    <w:p w14:paraId="356F543C" w14:textId="3E2C8CC8" w:rsidR="00B12E9B" w:rsidRDefault="00103C82" w:rsidP="007F16EB">
      <w:pPr>
        <w:pStyle w:val="BodyText"/>
      </w:pPr>
      <w:r>
        <w:t>Statewide Planning Goal 5</w:t>
      </w:r>
      <w:r w:rsidR="00F918D5">
        <w:t xml:space="preserve"> (Natural Resources, Scenic and Historic Areas and Open Spaces) is another goal significant to this appeal. It</w:t>
      </w:r>
      <w:r>
        <w:t xml:space="preserve"> imposes inventory </w:t>
      </w:r>
      <w:r>
        <w:lastRenderedPageBreak/>
        <w:t xml:space="preserve">and planning requirements for up to fifteen different resources, including wildlife habitat.  </w:t>
      </w:r>
      <w:r w:rsidR="008E3E73">
        <w:t>Although the goal must be implemented, local governments have flexibility in implementation as they may</w:t>
      </w:r>
      <w:r w:rsidR="002E3A5E">
        <w:t xml:space="preserve"> use </w:t>
      </w:r>
      <w:r w:rsidR="00851D54">
        <w:t xml:space="preserve">a </w:t>
      </w:r>
      <w:r w:rsidR="002E3A5E">
        <w:t xml:space="preserve">“standard </w:t>
      </w:r>
      <w:r w:rsidR="00851D54">
        <w:t>process</w:t>
      </w:r>
      <w:r w:rsidR="002E3A5E">
        <w:t xml:space="preserve">” or </w:t>
      </w:r>
      <w:r w:rsidR="008E3E73">
        <w:t xml:space="preserve">a combination of </w:t>
      </w:r>
      <w:r w:rsidR="00851D54">
        <w:t>specific rules and/or</w:t>
      </w:r>
      <w:r w:rsidR="002E3A5E">
        <w:t xml:space="preserve"> “safe harbors</w:t>
      </w:r>
      <w:r w:rsidR="00B3056B">
        <w:t>.</w:t>
      </w:r>
      <w:r w:rsidR="002E3A5E">
        <w:t>”  OAR 660-023-0020</w:t>
      </w:r>
      <w:r w:rsidR="00CF5149">
        <w:fldChar w:fldCharType="begin"/>
      </w:r>
      <w:r w:rsidR="00CF5149">
        <w:instrText xml:space="preserve"> TA \l "</w:instrText>
      </w:r>
      <w:r w:rsidR="00CF5149" w:rsidRPr="00965CCC">
        <w:instrText>OAR 660-023-0020</w:instrText>
      </w:r>
      <w:r w:rsidR="00CF5149">
        <w:instrText xml:space="preserve">" \s "OAR 660-023-0020" \c 4 </w:instrText>
      </w:r>
      <w:r w:rsidR="00CF5149">
        <w:fldChar w:fldCharType="end"/>
      </w:r>
      <w:r w:rsidR="002E3A5E">
        <w:t>.  The typical “program to achieve Goal 5” involves adoption of comprehensive plan policies after a rigorous analysis of economic, social environmental and energy (</w:t>
      </w:r>
      <w:proofErr w:type="spellStart"/>
      <w:r w:rsidR="002E3A5E">
        <w:t>ESEE</w:t>
      </w:r>
      <w:proofErr w:type="spellEnd"/>
      <w:r w:rsidR="002E3A5E">
        <w:t>) consequences</w:t>
      </w:r>
      <w:r w:rsidR="00A516B3">
        <w:t xml:space="preserve"> to identify conflicting and allowable uses among other standards</w:t>
      </w:r>
      <w:r w:rsidR="002E3A5E">
        <w:t xml:space="preserve">. </w:t>
      </w:r>
      <w:r w:rsidR="008E3E73">
        <w:t xml:space="preserve"> As an alternative, s</w:t>
      </w:r>
      <w:r w:rsidR="00851D54">
        <w:t>afe harbor</w:t>
      </w:r>
      <w:r w:rsidR="00BF5917">
        <w:t>s</w:t>
      </w:r>
      <w:r w:rsidR="00851D54">
        <w:t xml:space="preserve"> and specific rules identify </w:t>
      </w:r>
      <w:r w:rsidR="008E3E73">
        <w:t xml:space="preserve">other </w:t>
      </w:r>
      <w:r w:rsidR="00851D54">
        <w:t xml:space="preserve">metrics that a county may utilize to satisfy Goal 5 rather than following the </w:t>
      </w:r>
      <w:r w:rsidR="00A516B3">
        <w:t xml:space="preserve">standard </w:t>
      </w:r>
      <w:r w:rsidR="00851D54">
        <w:t>process.</w:t>
      </w:r>
      <w:r w:rsidR="00851D54">
        <w:rPr>
          <w:rStyle w:val="FootnoteReference"/>
        </w:rPr>
        <w:footnoteReference w:id="3"/>
      </w:r>
      <w:r w:rsidR="00851D54">
        <w:t xml:space="preserve"> </w:t>
      </w:r>
      <w:r w:rsidR="001B1252">
        <w:t xml:space="preserve"> </w:t>
      </w:r>
      <w:r w:rsidR="001B1252" w:rsidRPr="001B1252">
        <w:rPr>
          <w:i/>
        </w:rPr>
        <w:t>Id</w:t>
      </w:r>
      <w:r w:rsidR="001B1252">
        <w:t xml:space="preserve">. </w:t>
      </w:r>
      <w:r w:rsidR="00512E23">
        <w:t xml:space="preserve"> </w:t>
      </w:r>
    </w:p>
    <w:p w14:paraId="0AFF43E3" w14:textId="08C0894A" w:rsidR="00103C82" w:rsidRDefault="00512E23" w:rsidP="007F16EB">
      <w:pPr>
        <w:pStyle w:val="BodyText"/>
      </w:pPr>
      <w:proofErr w:type="spellStart"/>
      <w:r>
        <w:t>LCDC’s</w:t>
      </w:r>
      <w:proofErr w:type="spellEnd"/>
      <w:r>
        <w:t xml:space="preserve"> rules </w:t>
      </w:r>
      <w:r w:rsidR="008E3E73">
        <w:t xml:space="preserve">clearly indicate the circumstances </w:t>
      </w:r>
      <w:r>
        <w:t xml:space="preserve">when a local jurisdiction is required to follow certain standards and when </w:t>
      </w:r>
      <w:r w:rsidR="008E3E73">
        <w:t xml:space="preserve">a </w:t>
      </w:r>
      <w:r>
        <w:t>jurisdiction retains discretion</w:t>
      </w:r>
      <w:r w:rsidR="00F27802">
        <w:t xml:space="preserve"> to choose different standards</w:t>
      </w:r>
      <w:r>
        <w:t>.</w:t>
      </w:r>
      <w:r w:rsidR="001B1252">
        <w:t xml:space="preserve">  </w:t>
      </w:r>
      <w:r w:rsidR="00A516B3">
        <w:t xml:space="preserve">For wildlife habitat, </w:t>
      </w:r>
      <w:r w:rsidR="008E3E73">
        <w:t xml:space="preserve">although </w:t>
      </w:r>
      <w:r w:rsidR="00A516B3">
        <w:t xml:space="preserve">local jurisdictions </w:t>
      </w:r>
      <w:r w:rsidR="001B1252">
        <w:t xml:space="preserve">are required to </w:t>
      </w:r>
      <w:r w:rsidR="007A2F2F">
        <w:t xml:space="preserve">inventory </w:t>
      </w:r>
      <w:r w:rsidR="002E1F36">
        <w:t>wildlife habitat</w:t>
      </w:r>
      <w:r w:rsidR="003F1F52">
        <w:t>, they decide whether to do so</w:t>
      </w:r>
      <w:r w:rsidR="001B1252">
        <w:t xml:space="preserve"> “following either the safe harbor methodology * * * or the standard inventory </w:t>
      </w:r>
      <w:r w:rsidR="001B1252">
        <w:lastRenderedPageBreak/>
        <w:t>process</w:t>
      </w:r>
      <w:r w:rsidR="00EF1145">
        <w:t>.</w:t>
      </w:r>
      <w:r w:rsidR="001B1252">
        <w:t>”</w:t>
      </w:r>
      <w:r w:rsidR="00EF1145">
        <w:t xml:space="preserve"> </w:t>
      </w:r>
      <w:r w:rsidR="00A516B3">
        <w:t xml:space="preserve"> </w:t>
      </w:r>
      <w:r w:rsidR="00EF1145">
        <w:t>OAR 660-023-0110(2)</w:t>
      </w:r>
      <w:r w:rsidR="00CF5149">
        <w:fldChar w:fldCharType="begin"/>
      </w:r>
      <w:r w:rsidR="00CF5149">
        <w:instrText xml:space="preserve"> TA \l "</w:instrText>
      </w:r>
      <w:r w:rsidR="00CF5149" w:rsidRPr="00965CCC">
        <w:instrText>OAR 660-023-0110(2)</w:instrText>
      </w:r>
      <w:r w:rsidR="00CF5149">
        <w:instrText xml:space="preserve">" \s "OAR 660-023-0110(2)" \c 4 </w:instrText>
      </w:r>
      <w:r w:rsidR="00CF5149">
        <w:fldChar w:fldCharType="end"/>
      </w:r>
      <w:r w:rsidR="00F27802">
        <w:t xml:space="preserve">. </w:t>
      </w:r>
      <w:r w:rsidR="00EF1145">
        <w:t xml:space="preserve"> </w:t>
      </w:r>
      <w:r w:rsidR="003F1F52">
        <w:t>Similarly, while there is an established “</w:t>
      </w:r>
      <w:proofErr w:type="spellStart"/>
      <w:r w:rsidR="003F1F52">
        <w:t>ESEE</w:t>
      </w:r>
      <w:proofErr w:type="spellEnd"/>
      <w:r w:rsidR="003F1F52">
        <w:t xml:space="preserve"> Decision Process” and requirement that jurisdictions “coordinate with </w:t>
      </w:r>
      <w:r w:rsidR="00EF1145">
        <w:t>appropriate state and federal agencies</w:t>
      </w:r>
      <w:r w:rsidR="00004A8D">
        <w:t>”</w:t>
      </w:r>
      <w:r w:rsidR="00EF1145">
        <w:t xml:space="preserve"> for listed sensitive, threatened or endangered species</w:t>
      </w:r>
      <w:r w:rsidR="00004A8D">
        <w:t xml:space="preserve">, these procedural standards </w:t>
      </w:r>
      <w:r w:rsidR="00ED213A">
        <w:t>simply provide some guidance on</w:t>
      </w:r>
      <w:r w:rsidR="00004A8D">
        <w:t xml:space="preserve"> </w:t>
      </w:r>
      <w:r w:rsidR="00004A8D">
        <w:rPr>
          <w:i/>
        </w:rPr>
        <w:t xml:space="preserve">how </w:t>
      </w:r>
      <w:r w:rsidR="00004A8D">
        <w:t>a county implements Goal 5</w:t>
      </w:r>
      <w:r w:rsidR="00EF1145">
        <w:t>.  OAR 660-023-</w:t>
      </w:r>
      <w:r w:rsidR="00ED213A">
        <w:t>0040</w:t>
      </w:r>
      <w:r w:rsidR="00CF5149">
        <w:fldChar w:fldCharType="begin"/>
      </w:r>
      <w:r w:rsidR="00CF5149">
        <w:instrText xml:space="preserve"> TA \l "</w:instrText>
      </w:r>
      <w:r w:rsidR="00CF5149" w:rsidRPr="00965CCC">
        <w:instrText>OAR 660-023-0040</w:instrText>
      </w:r>
      <w:r w:rsidR="00CF5149">
        <w:instrText xml:space="preserve">" \s "OAR 660-023-0040" \c 4 </w:instrText>
      </w:r>
      <w:r w:rsidR="00CF5149">
        <w:fldChar w:fldCharType="end"/>
      </w:r>
      <w:r w:rsidR="00ED213A">
        <w:t>; OAR 660-023-</w:t>
      </w:r>
      <w:r w:rsidR="00EF1145">
        <w:t>0110(6)</w:t>
      </w:r>
      <w:r w:rsidR="00CF5149">
        <w:fldChar w:fldCharType="begin"/>
      </w:r>
      <w:r w:rsidR="00CF5149">
        <w:instrText xml:space="preserve"> TA \l "</w:instrText>
      </w:r>
      <w:r w:rsidR="00CF5149" w:rsidRPr="00965CCC">
        <w:instrText>OAR 660-023-0110(6)</w:instrText>
      </w:r>
      <w:r w:rsidR="00CF5149">
        <w:instrText xml:space="preserve">" \s "OAR 660-023-0110(6)" \c 4 </w:instrText>
      </w:r>
      <w:r w:rsidR="00CF5149">
        <w:fldChar w:fldCharType="end"/>
      </w:r>
      <w:r w:rsidR="00EF1145">
        <w:t xml:space="preserve">. </w:t>
      </w:r>
      <w:r w:rsidR="00693932">
        <w:t xml:space="preserve"> </w:t>
      </w:r>
      <w:r w:rsidR="00EF1145">
        <w:t>L</w:t>
      </w:r>
      <w:r w:rsidR="00B3056B">
        <w:t xml:space="preserve">ocal jurisdictions </w:t>
      </w:r>
      <w:r w:rsidR="00EF1145">
        <w:t xml:space="preserve">therefore </w:t>
      </w:r>
      <w:r w:rsidR="00B3056B">
        <w:t>retain significant discretion</w:t>
      </w:r>
      <w:r w:rsidR="00065A23">
        <w:t xml:space="preserve"> to enact differing regulatory approaches.</w:t>
      </w:r>
      <w:r w:rsidR="00B12E9B">
        <w:t xml:space="preserve">  This is </w:t>
      </w:r>
      <w:r w:rsidR="00E96BCA">
        <w:t xml:space="preserve">also </w:t>
      </w:r>
      <w:r w:rsidR="00B12E9B">
        <w:t xml:space="preserve">true under </w:t>
      </w:r>
      <w:proofErr w:type="spellStart"/>
      <w:r w:rsidR="00B12E9B">
        <w:t>LCDC’s</w:t>
      </w:r>
      <w:proofErr w:type="spellEnd"/>
      <w:r w:rsidR="00B12E9B">
        <w:t xml:space="preserve"> solar siting rule at OAR 660-033-0130(38)</w:t>
      </w:r>
      <w:r w:rsidR="00CF5149">
        <w:fldChar w:fldCharType="begin"/>
      </w:r>
      <w:r w:rsidR="00CF5149">
        <w:instrText xml:space="preserve"> TA \l "</w:instrText>
      </w:r>
      <w:r w:rsidR="00CF5149" w:rsidRPr="00965CCC">
        <w:instrText>OAR 660-033-0130(38)</w:instrText>
      </w:r>
      <w:r w:rsidR="00CF5149">
        <w:instrText xml:space="preserve">" \s "OAR 660-033-0130(38)" \c 4 </w:instrText>
      </w:r>
      <w:r w:rsidR="00CF5149">
        <w:fldChar w:fldCharType="end"/>
      </w:r>
      <w:r w:rsidR="00B12E9B">
        <w:t xml:space="preserve"> which authorizes facilities up to 320 acres on </w:t>
      </w:r>
      <w:proofErr w:type="spellStart"/>
      <w:r w:rsidR="00B12E9B">
        <w:t>nonarable</w:t>
      </w:r>
      <w:proofErr w:type="spellEnd"/>
      <w:r w:rsidR="00B12E9B">
        <w:t xml:space="preserve"> land.  Under OAR 660-033-0130(38)(j)(F) and (G)</w:t>
      </w:r>
      <w:r w:rsidR="00CF5149">
        <w:fldChar w:fldCharType="begin"/>
      </w:r>
      <w:r w:rsidR="00CF5149">
        <w:instrText xml:space="preserve"> TA \l "</w:instrText>
      </w:r>
      <w:r w:rsidR="00CF5149" w:rsidRPr="00965CCC">
        <w:instrText>OAR 660-033-0130(38)(j)(F) and (G)</w:instrText>
      </w:r>
      <w:r w:rsidR="00CF5149">
        <w:instrText xml:space="preserve">" \s "OAR 660-033-0130(38)(j)(F) and (G)" \c 4 </w:instrText>
      </w:r>
      <w:r w:rsidR="00CF5149">
        <w:fldChar w:fldCharType="end"/>
      </w:r>
      <w:r w:rsidR="00E96BCA">
        <w:t>,</w:t>
      </w:r>
      <w:r w:rsidR="00B12E9B">
        <w:t xml:space="preserve"> applicants are required to confer with resource management agencies including </w:t>
      </w:r>
      <w:proofErr w:type="spellStart"/>
      <w:r w:rsidR="00B12E9B">
        <w:t>ODFW</w:t>
      </w:r>
      <w:proofErr w:type="spellEnd"/>
      <w:r w:rsidR="00B12E9B">
        <w:t xml:space="preserve"> on habitat avoidance </w:t>
      </w:r>
      <w:r w:rsidR="00E96BCA">
        <w:t>or</w:t>
      </w:r>
      <w:r w:rsidR="00B12E9B">
        <w:t xml:space="preserve"> mitigation</w:t>
      </w:r>
      <w:r w:rsidR="00E96BCA">
        <w:t>,</w:t>
      </w:r>
      <w:r w:rsidR="00B12E9B">
        <w:t xml:space="preserve"> but the “county is responsible for determining appropriate mitigation” without specific adherence to the state wildlife mitigation policy.</w:t>
      </w:r>
      <w:r w:rsidR="009F2F31">
        <w:t xml:space="preserve">  </w:t>
      </w:r>
    </w:p>
    <w:p w14:paraId="7DDC16E1" w14:textId="793085F9" w:rsidR="007E0EDE" w:rsidRDefault="00BB18B2" w:rsidP="007F16EB">
      <w:pPr>
        <w:pStyle w:val="BodyText"/>
      </w:pPr>
      <w:r>
        <w:t xml:space="preserve">With this framework in mind, the legislature </w:t>
      </w:r>
      <w:r w:rsidR="00512E23">
        <w:t xml:space="preserve">ultimately </w:t>
      </w:r>
      <w:r w:rsidR="00B3056B">
        <w:t>adopted the -</w:t>
      </w:r>
      <w:r w:rsidR="00EF1145">
        <w:t>A</w:t>
      </w:r>
      <w:r w:rsidR="00B3056B">
        <w:t>5 amendments</w:t>
      </w:r>
      <w:r>
        <w:t xml:space="preserve"> to </w:t>
      </w:r>
      <w:proofErr w:type="spellStart"/>
      <w:r>
        <w:t>HB</w:t>
      </w:r>
      <w:proofErr w:type="spellEnd"/>
      <w:r>
        <w:t xml:space="preserve"> 2329</w:t>
      </w:r>
      <w:r w:rsidR="00512E23">
        <w:t xml:space="preserve">.  </w:t>
      </w:r>
      <w:proofErr w:type="spellStart"/>
      <w:r w:rsidR="00824789">
        <w:t>CREA</w:t>
      </w:r>
      <w:proofErr w:type="spellEnd"/>
      <w:r w:rsidR="0046109D">
        <w:t xml:space="preserve"> and others</w:t>
      </w:r>
      <w:r w:rsidR="00824789">
        <w:t xml:space="preserve"> understood these</w:t>
      </w:r>
      <w:r w:rsidR="00512E23">
        <w:t xml:space="preserve"> amendments</w:t>
      </w:r>
      <w:r w:rsidR="00824789">
        <w:t xml:space="preserve"> to provide </w:t>
      </w:r>
      <w:r w:rsidR="00F27802">
        <w:t xml:space="preserve">policy </w:t>
      </w:r>
      <w:r w:rsidR="00512E23">
        <w:t>guidance for</w:t>
      </w:r>
      <w:r w:rsidR="00824789">
        <w:t xml:space="preserve"> </w:t>
      </w:r>
      <w:r w:rsidR="00627C74">
        <w:t xml:space="preserve">the exercise of </w:t>
      </w:r>
      <w:r w:rsidR="00824789">
        <w:t xml:space="preserve">county discretion, </w:t>
      </w:r>
      <w:r w:rsidR="00512E23">
        <w:t>not</w:t>
      </w:r>
      <w:r w:rsidR="00824789">
        <w:t xml:space="preserve"> to</w:t>
      </w:r>
      <w:r w:rsidR="00512E23">
        <w:t xml:space="preserve"> prescribe county</w:t>
      </w:r>
      <w:r w:rsidR="00824789">
        <w:t xml:space="preserve"> action</w:t>
      </w:r>
      <w:r w:rsidR="00BF7078">
        <w:t xml:space="preserve"> or to create requirements more onerous than in the </w:t>
      </w:r>
      <w:proofErr w:type="spellStart"/>
      <w:r w:rsidR="00BF7078">
        <w:t>EFSC</w:t>
      </w:r>
      <w:proofErr w:type="spellEnd"/>
      <w:r w:rsidR="00BF7078">
        <w:t xml:space="preserve"> siting </w:t>
      </w:r>
      <w:r w:rsidR="00BF7078">
        <w:lastRenderedPageBreak/>
        <w:t>process</w:t>
      </w:r>
      <w:r w:rsidR="00824789">
        <w:t>, regarding</w:t>
      </w:r>
      <w:r w:rsidR="00512E23">
        <w:t xml:space="preserve"> </w:t>
      </w:r>
      <w:r w:rsidR="007E0EDE">
        <w:t xml:space="preserve">mitigation for </w:t>
      </w:r>
      <w:r w:rsidR="00512E23">
        <w:t>Goal 5</w:t>
      </w:r>
      <w:r w:rsidR="00824789">
        <w:t xml:space="preserve"> wildlife habitat</w:t>
      </w:r>
      <w:r w:rsidR="00512E23">
        <w:t xml:space="preserve"> resources in this siting context. </w:t>
      </w:r>
      <w:r w:rsidR="00B3056B">
        <w:t xml:space="preserve"> </w:t>
      </w:r>
      <w:r w:rsidR="0046109D" w:rsidRPr="0046109D">
        <w:rPr>
          <w:i/>
        </w:rPr>
        <w:t>See also</w:t>
      </w:r>
      <w:r w:rsidR="0046109D">
        <w:t xml:space="preserve"> </w:t>
      </w:r>
      <w:r w:rsidR="00555752">
        <w:t>West Prineville Solar ER 041, 043</w:t>
      </w:r>
      <w:r w:rsidR="00CF6988">
        <w:t xml:space="preserve"> (Representative Helm noting </w:t>
      </w:r>
      <w:r w:rsidR="00555752">
        <w:t xml:space="preserve">that “counties needed some flexibility” in the application of fish and wildlife and cultural standards and that </w:t>
      </w:r>
      <w:r w:rsidR="00CF6988">
        <w:t xml:space="preserve">the bill’s standards “are not as super rigorous as the ones * * * impose[d] in the regular </w:t>
      </w:r>
      <w:proofErr w:type="spellStart"/>
      <w:r w:rsidR="00CF6988">
        <w:t>EFSC</w:t>
      </w:r>
      <w:proofErr w:type="spellEnd"/>
      <w:r w:rsidR="00CF6988">
        <w:t xml:space="preserve"> process,</w:t>
      </w:r>
      <w:r w:rsidR="00555752">
        <w:t xml:space="preserve"> [but]</w:t>
      </w:r>
      <w:r w:rsidR="00CF6988">
        <w:t xml:space="preserve"> they are intended to get at the same goals and protect the same values and allow the counties to do in a more timely manner”)</w:t>
      </w:r>
      <w:r w:rsidR="00652639">
        <w:t>, 045–046</w:t>
      </w:r>
      <w:r w:rsidR="00A32811">
        <w:t>;</w:t>
      </w:r>
      <w:r w:rsidR="00CF6988">
        <w:t xml:space="preserve"> </w:t>
      </w:r>
      <w:r w:rsidR="00936D69">
        <w:t>App-25</w:t>
      </w:r>
      <w:r w:rsidR="00BF7078">
        <w:t xml:space="preserve"> </w:t>
      </w:r>
      <w:r w:rsidR="0046109D">
        <w:t>(</w:t>
      </w:r>
      <w:r w:rsidR="00824789">
        <w:t>June</w:t>
      </w:r>
      <w:r w:rsidR="00936D69">
        <w:t xml:space="preserve"> 9, </w:t>
      </w:r>
      <w:r w:rsidR="00824789">
        <w:t>2019</w:t>
      </w:r>
      <w:r w:rsidR="00936D69">
        <w:t>,</w:t>
      </w:r>
      <w:r w:rsidR="00824789">
        <w:t xml:space="preserve"> </w:t>
      </w:r>
      <w:r w:rsidR="00936D69">
        <w:t xml:space="preserve">Testimony of 1000 Friends of Oregon </w:t>
      </w:r>
      <w:r w:rsidR="00D93816">
        <w:t>regarding the -</w:t>
      </w:r>
      <w:r w:rsidR="00EF1145">
        <w:t>A</w:t>
      </w:r>
      <w:r w:rsidR="00D93816">
        <w:t>5 amendment,</w:t>
      </w:r>
      <w:r w:rsidR="00824789">
        <w:t xml:space="preserve"> </w:t>
      </w:r>
      <w:r w:rsidR="0046109D">
        <w:t>expressing</w:t>
      </w:r>
      <w:r w:rsidR="00824789">
        <w:t xml:space="preserve"> concern that “the county, not </w:t>
      </w:r>
      <w:proofErr w:type="spellStart"/>
      <w:r w:rsidR="00824789">
        <w:t>ODFW</w:t>
      </w:r>
      <w:proofErr w:type="spellEnd"/>
      <w:r w:rsidR="00824789">
        <w:t>, will have the final say over whether applicant has adequately avoided and mitigated wildlife impacts.”</w:t>
      </w:r>
      <w:r w:rsidR="0046109D">
        <w:t>)</w:t>
      </w:r>
      <w:r w:rsidR="00C55A27">
        <w:t xml:space="preserve">. </w:t>
      </w:r>
      <w:r w:rsidR="0046109D">
        <w:t xml:space="preserve"> This understanding </w:t>
      </w:r>
      <w:r w:rsidR="00BF7078">
        <w:t>and legislative choice is codified in the</w:t>
      </w:r>
      <w:r w:rsidR="00824789">
        <w:t xml:space="preserve"> ex</w:t>
      </w:r>
      <w:r w:rsidR="00EF1145">
        <w:t xml:space="preserve">press language </w:t>
      </w:r>
      <w:r w:rsidR="00BF7078">
        <w:t>of</w:t>
      </w:r>
      <w:r w:rsidR="00EF1145">
        <w:t xml:space="preserve"> </w:t>
      </w:r>
      <w:proofErr w:type="spellStart"/>
      <w:r w:rsidR="00EF1145">
        <w:t>ORS</w:t>
      </w:r>
      <w:proofErr w:type="spellEnd"/>
      <w:r w:rsidR="00EF1145">
        <w:t xml:space="preserve"> 215.</w:t>
      </w:r>
      <w:r>
        <w:t>446</w:t>
      </w:r>
      <w:r w:rsidR="0067339D">
        <w:fldChar w:fldCharType="begin"/>
      </w:r>
      <w:r w:rsidR="0067339D">
        <w:instrText xml:space="preserve"> TA \s "ORS 215.446" </w:instrText>
      </w:r>
      <w:r w:rsidR="0067339D">
        <w:fldChar w:fldCharType="end"/>
      </w:r>
      <w:r w:rsidR="00A0705E">
        <w:t xml:space="preserve">: </w:t>
      </w:r>
      <w:r w:rsidR="00C55A27">
        <w:t>after “</w:t>
      </w:r>
      <w:r w:rsidR="00C55A27" w:rsidRPr="007E0EDE">
        <w:rPr>
          <w:i/>
        </w:rPr>
        <w:t>consult</w:t>
      </w:r>
      <w:r w:rsidR="00C55A27">
        <w:rPr>
          <w:i/>
        </w:rPr>
        <w:t>[</w:t>
      </w:r>
      <w:proofErr w:type="spellStart"/>
      <w:r w:rsidR="00C55A27" w:rsidRPr="007E0EDE">
        <w:rPr>
          <w:i/>
        </w:rPr>
        <w:t>ation</w:t>
      </w:r>
      <w:proofErr w:type="spellEnd"/>
      <w:r w:rsidR="00C55A27">
        <w:rPr>
          <w:i/>
        </w:rPr>
        <w:t>]</w:t>
      </w:r>
      <w:r w:rsidR="00C55A27">
        <w:t xml:space="preserve"> with” </w:t>
      </w:r>
      <w:proofErr w:type="spellStart"/>
      <w:r w:rsidR="00C55A27">
        <w:t>ODFW</w:t>
      </w:r>
      <w:proofErr w:type="spellEnd"/>
      <w:r w:rsidR="00C55A27">
        <w:t xml:space="preserve">, an </w:t>
      </w:r>
      <w:r w:rsidR="00824789">
        <w:t xml:space="preserve">“applicant must demonstrate </w:t>
      </w:r>
      <w:r w:rsidR="00824789" w:rsidRPr="007E0EDE">
        <w:rPr>
          <w:i/>
        </w:rPr>
        <w:t>to the satisfaction</w:t>
      </w:r>
      <w:r w:rsidR="00824789">
        <w:t xml:space="preserve"> </w:t>
      </w:r>
      <w:r w:rsidR="00824789" w:rsidRPr="00F27802">
        <w:rPr>
          <w:i/>
        </w:rPr>
        <w:t>of the county</w:t>
      </w:r>
      <w:r w:rsidR="00824789">
        <w:t xml:space="preserve"> that the renewable energy facility</w:t>
      </w:r>
      <w:r w:rsidR="00980CE6">
        <w:t>”</w:t>
      </w:r>
      <w:r w:rsidR="0046109D">
        <w:t xml:space="preserve"> </w:t>
      </w:r>
      <w:r w:rsidR="00627C74">
        <w:t xml:space="preserve">has developed </w:t>
      </w:r>
      <w:r w:rsidR="00824789">
        <w:t xml:space="preserve">a mitigation plan </w:t>
      </w:r>
      <w:r w:rsidR="00C55A27">
        <w:t xml:space="preserve">that is </w:t>
      </w:r>
      <w:r w:rsidR="00824789">
        <w:t>“</w:t>
      </w:r>
      <w:r w:rsidR="00824789" w:rsidRPr="007E0EDE">
        <w:rPr>
          <w:i/>
        </w:rPr>
        <w:t>consistent with</w:t>
      </w:r>
      <w:r w:rsidR="00824789">
        <w:t xml:space="preserve"> the administrative rules adopted by the State Fish and Wildlife </w:t>
      </w:r>
      <w:r w:rsidR="00BF7078">
        <w:t>C</w:t>
      </w:r>
      <w:r w:rsidR="00824789">
        <w:t xml:space="preserve">ommission for the purposes of implementing </w:t>
      </w:r>
      <w:proofErr w:type="spellStart"/>
      <w:r w:rsidR="002D3486">
        <w:t>ORS</w:t>
      </w:r>
      <w:proofErr w:type="spellEnd"/>
      <w:r w:rsidR="002D3486">
        <w:t xml:space="preserve"> 496</w:t>
      </w:r>
      <w:r w:rsidR="00824789">
        <w:t>.012</w:t>
      </w:r>
      <w:r w:rsidR="002D3486">
        <w:t xml:space="preserve"> </w:t>
      </w:r>
      <w:r w:rsidR="00BF7078">
        <w:t>[</w:t>
      </w:r>
      <w:r w:rsidR="002D3486">
        <w:t>(Wildlife Policy)</w:t>
      </w:r>
      <w:r w:rsidR="00BF7078">
        <w:t>]</w:t>
      </w:r>
      <w:r w:rsidR="00824789">
        <w:t>.</w:t>
      </w:r>
      <w:r w:rsidR="00F27802">
        <w:t>”</w:t>
      </w:r>
      <w:r w:rsidR="007E0EDE">
        <w:t xml:space="preserve">  </w:t>
      </w:r>
      <w:proofErr w:type="spellStart"/>
      <w:r w:rsidR="007E0EDE">
        <w:t>ORS</w:t>
      </w:r>
      <w:proofErr w:type="spellEnd"/>
      <w:r w:rsidR="007E0EDE">
        <w:t xml:space="preserve"> 215.446</w:t>
      </w:r>
      <w:r w:rsidR="00EF1145">
        <w:t>(2)</w:t>
      </w:r>
      <w:r w:rsidR="00164358">
        <w:fldChar w:fldCharType="begin"/>
      </w:r>
      <w:r w:rsidR="00164358">
        <w:instrText xml:space="preserve"> TA \s "ORS 215.446(2)" </w:instrText>
      </w:r>
      <w:r w:rsidR="00164358">
        <w:fldChar w:fldCharType="end"/>
      </w:r>
      <w:r w:rsidR="00EF1145">
        <w:t xml:space="preserve">, </w:t>
      </w:r>
      <w:r w:rsidR="007E0EDE">
        <w:t>(3)(a)(B) and (C)</w:t>
      </w:r>
      <w:r w:rsidR="00C24C74">
        <w:fldChar w:fldCharType="begin"/>
      </w:r>
      <w:r w:rsidR="00C24C74">
        <w:instrText xml:space="preserve"> TA \l "</w:instrText>
      </w:r>
      <w:r w:rsidR="00C24C74" w:rsidRPr="00DE434E">
        <w:instrText>ORS 215.446(3)(a)(B) and (C)</w:instrText>
      </w:r>
      <w:r w:rsidR="00C24C74">
        <w:instrText xml:space="preserve">" \s "ORS 215.446(3)(a)(B) and (C)" \c 2 </w:instrText>
      </w:r>
      <w:r w:rsidR="00C24C74">
        <w:fldChar w:fldCharType="end"/>
      </w:r>
      <w:r w:rsidR="00EF1145">
        <w:t xml:space="preserve"> (emphasis added)</w:t>
      </w:r>
      <w:r w:rsidR="007E0EDE">
        <w:t xml:space="preserve">.  </w:t>
      </w:r>
      <w:proofErr w:type="spellStart"/>
      <w:r w:rsidR="00ED2868">
        <w:t>CREA</w:t>
      </w:r>
      <w:proofErr w:type="spellEnd"/>
      <w:r w:rsidR="00ED2868">
        <w:t xml:space="preserve"> </w:t>
      </w:r>
      <w:r w:rsidR="00A0705E">
        <w:t>understands this language to</w:t>
      </w:r>
      <w:r w:rsidR="00ED2868">
        <w:t xml:space="preserve"> mean </w:t>
      </w:r>
      <w:r w:rsidR="00A0705E">
        <w:t>an applicant will consult</w:t>
      </w:r>
      <w:r w:rsidR="00ED2868">
        <w:t xml:space="preserve"> with </w:t>
      </w:r>
      <w:proofErr w:type="spellStart"/>
      <w:r w:rsidR="00ED2868">
        <w:t>ODFW</w:t>
      </w:r>
      <w:proofErr w:type="spellEnd"/>
      <w:r w:rsidR="00ED2868">
        <w:t xml:space="preserve"> and prepare a written mitigation plan fo</w:t>
      </w:r>
      <w:r w:rsidR="003D39CC">
        <w:t xml:space="preserve">r </w:t>
      </w:r>
      <w:r w:rsidR="00A0705E">
        <w:t xml:space="preserve">a county to determine to </w:t>
      </w:r>
      <w:r w:rsidR="00A0705E">
        <w:rPr>
          <w:i/>
        </w:rPr>
        <w:t>its</w:t>
      </w:r>
      <w:r w:rsidR="00ED2868">
        <w:t xml:space="preserve"> satisfaction </w:t>
      </w:r>
      <w:r w:rsidR="00A0705E">
        <w:t xml:space="preserve">that </w:t>
      </w:r>
      <w:r w:rsidR="00ED2868">
        <w:t xml:space="preserve">significant impacts to fish and wildlife habitat will be offset through </w:t>
      </w:r>
      <w:r w:rsidR="00ED2868">
        <w:lastRenderedPageBreak/>
        <w:t xml:space="preserve">mitigation </w:t>
      </w:r>
      <w:r w:rsidR="00A0705E">
        <w:t>resulting in</w:t>
      </w:r>
      <w:r w:rsidR="00ED2868">
        <w:t xml:space="preserve"> no net loss in habitat quantity or quality</w:t>
      </w:r>
      <w:r w:rsidR="0066258E">
        <w:t xml:space="preserve"> where required by </w:t>
      </w:r>
      <w:r w:rsidR="002D3486">
        <w:t xml:space="preserve">the </w:t>
      </w:r>
      <w:r w:rsidR="00CB0448">
        <w:t>S</w:t>
      </w:r>
      <w:r w:rsidR="0066258E">
        <w:t xml:space="preserve">tate </w:t>
      </w:r>
      <w:r w:rsidR="002D3486">
        <w:t>Wildlife P</w:t>
      </w:r>
      <w:r w:rsidR="0066258E">
        <w:t>oli</w:t>
      </w:r>
      <w:r w:rsidR="00F21D6C">
        <w:t>cy.  The legislative history supports the conclusion that the legislature shared this understanding as well.</w:t>
      </w:r>
    </w:p>
    <w:p w14:paraId="7F66B783" w14:textId="77777777" w:rsidR="00B60507" w:rsidRDefault="00701064" w:rsidP="00701064">
      <w:pPr>
        <w:pStyle w:val="Heading2"/>
      </w:pPr>
      <w:bookmarkStart w:id="13" w:name="_Toc77257132"/>
      <w:bookmarkStart w:id="14" w:name="_Toc78292825"/>
      <w:r>
        <w:t xml:space="preserve">The Board’s Interpretation Misunderstands and Frustrates Important Legislative Policy Choices Underpinning </w:t>
      </w:r>
      <w:proofErr w:type="spellStart"/>
      <w:r>
        <w:t>HB</w:t>
      </w:r>
      <w:proofErr w:type="spellEnd"/>
      <w:r>
        <w:t xml:space="preserve"> 2329.</w:t>
      </w:r>
      <w:bookmarkEnd w:id="13"/>
      <w:bookmarkEnd w:id="14"/>
    </w:p>
    <w:p w14:paraId="229B0D82" w14:textId="59908052" w:rsidR="00576E93" w:rsidRDefault="00B348BF" w:rsidP="001B6EDE">
      <w:pPr>
        <w:pStyle w:val="BodyText"/>
      </w:pPr>
      <w:r>
        <w:t xml:space="preserve">The Board </w:t>
      </w:r>
      <w:r w:rsidR="008F4972">
        <w:t xml:space="preserve">interprets </w:t>
      </w:r>
      <w:proofErr w:type="spellStart"/>
      <w:r w:rsidR="008F4972">
        <w:t>ORS</w:t>
      </w:r>
      <w:proofErr w:type="spellEnd"/>
      <w:r w:rsidR="008F4972">
        <w:t xml:space="preserve"> 215.446(</w:t>
      </w:r>
      <w:r w:rsidR="00157597">
        <w:t>3</w:t>
      </w:r>
      <w:r w:rsidR="008F4972">
        <w:t>)(</w:t>
      </w:r>
      <w:r w:rsidR="002819B3">
        <w:t>a</w:t>
      </w:r>
      <w:r w:rsidR="008F4972">
        <w:t>)(</w:t>
      </w:r>
      <w:r w:rsidR="002819B3">
        <w:t>C</w:t>
      </w:r>
      <w:r w:rsidR="008F4972">
        <w:t>)</w:t>
      </w:r>
      <w:r w:rsidR="00461422">
        <w:fldChar w:fldCharType="begin"/>
      </w:r>
      <w:r w:rsidR="00461422">
        <w:instrText xml:space="preserve"> TA \l "</w:instrText>
      </w:r>
      <w:r w:rsidR="00461422" w:rsidRPr="00965CCC">
        <w:instrText>ORS 215.446(3)(a)(C)</w:instrText>
      </w:r>
      <w:r w:rsidR="00461422">
        <w:instrText xml:space="preserve">" \s "ORS 215.446(3)(a)(C)" \c 2 </w:instrText>
      </w:r>
      <w:r w:rsidR="00461422">
        <w:fldChar w:fldCharType="end"/>
      </w:r>
      <w:r w:rsidR="001B6EDE">
        <w:rPr>
          <w:rStyle w:val="FootnoteReference"/>
        </w:rPr>
        <w:footnoteReference w:id="4"/>
      </w:r>
      <w:r w:rsidR="00C55A27">
        <w:t xml:space="preserve"> to limit</w:t>
      </w:r>
      <w:r w:rsidR="000644C4">
        <w:t xml:space="preserve"> a County’s </w:t>
      </w:r>
      <w:r w:rsidR="00C55A27">
        <w:lastRenderedPageBreak/>
        <w:t>customary</w:t>
      </w:r>
      <w:r w:rsidR="000644C4">
        <w:t xml:space="preserve"> function to determine what standards and criteria apply </w:t>
      </w:r>
      <w:r w:rsidR="00C55A27">
        <w:t xml:space="preserve">to land use permits </w:t>
      </w:r>
      <w:r w:rsidR="000644C4">
        <w:t>by enunciating a rule</w:t>
      </w:r>
      <w:r w:rsidR="008F4972">
        <w:t xml:space="preserve"> </w:t>
      </w:r>
      <w:r w:rsidR="00C55A27">
        <w:t>that requires</w:t>
      </w:r>
      <w:r w:rsidR="008F4972">
        <w:t xml:space="preserve"> an applicant </w:t>
      </w:r>
      <w:r w:rsidR="00157597">
        <w:t>to strictly</w:t>
      </w:r>
      <w:r w:rsidR="008F4972">
        <w:t xml:space="preserve"> comply with </w:t>
      </w:r>
      <w:r w:rsidR="003D39CC">
        <w:t>“</w:t>
      </w:r>
      <w:r w:rsidR="008F4972">
        <w:t>all</w:t>
      </w:r>
      <w:r w:rsidR="003D39CC">
        <w:t>”</w:t>
      </w:r>
      <w:r w:rsidR="008F4972">
        <w:t xml:space="preserve"> of the administrative rules promulgated by the State Fish and Wildlife Commission including </w:t>
      </w:r>
      <w:r w:rsidR="00576E93">
        <w:t xml:space="preserve">each of the requirements applicable to </w:t>
      </w:r>
      <w:r w:rsidR="008F4972">
        <w:t>a “written mitigation plan prepared for [</w:t>
      </w:r>
      <w:proofErr w:type="spellStart"/>
      <w:r w:rsidR="008F4972">
        <w:t>ODFW</w:t>
      </w:r>
      <w:proofErr w:type="spellEnd"/>
      <w:r w:rsidR="00576E93">
        <w:t>].</w:t>
      </w:r>
      <w:r w:rsidR="008F4972">
        <w:t xml:space="preserve">” </w:t>
      </w:r>
      <w:r w:rsidR="00157597">
        <w:t xml:space="preserve"> </w:t>
      </w:r>
      <w:r w:rsidR="008F4972">
        <w:t>OAR 635-415-0020(8)</w:t>
      </w:r>
      <w:r w:rsidR="00461422">
        <w:fldChar w:fldCharType="begin"/>
      </w:r>
      <w:r w:rsidR="00461422">
        <w:instrText xml:space="preserve"> TA \l "</w:instrText>
      </w:r>
      <w:r w:rsidR="00461422" w:rsidRPr="00965CCC">
        <w:instrText>OAR 635-415-0020(8)</w:instrText>
      </w:r>
      <w:r w:rsidR="00461422">
        <w:instrText xml:space="preserve">" \s "OAR 635-415-0020(8)" \c 4 </w:instrText>
      </w:r>
      <w:r w:rsidR="00461422">
        <w:fldChar w:fldCharType="end"/>
      </w:r>
      <w:r w:rsidR="00576E93">
        <w:t xml:space="preserve">; </w:t>
      </w:r>
      <w:r w:rsidR="00576E93" w:rsidRPr="00576E93">
        <w:rPr>
          <w:i/>
        </w:rPr>
        <w:t>Oregon Department of Fish and Wildlife v. Crook County</w:t>
      </w:r>
      <w:r w:rsidR="00576E93">
        <w:t xml:space="preserve"> (</w:t>
      </w:r>
      <w:proofErr w:type="spellStart"/>
      <w:r w:rsidR="00576E93">
        <w:t>LUBA</w:t>
      </w:r>
      <w:proofErr w:type="spellEnd"/>
      <w:r w:rsidR="00576E93">
        <w:t xml:space="preserve"> No. 2020-</w:t>
      </w:r>
      <w:r w:rsidR="003B247D">
        <w:t>1</w:t>
      </w:r>
      <w:r w:rsidR="00576E93">
        <w:t>14)</w:t>
      </w:r>
      <w:r w:rsidR="00FD546A">
        <w:fldChar w:fldCharType="begin"/>
      </w:r>
      <w:r w:rsidR="00FD546A">
        <w:instrText xml:space="preserve"> TA \s "Oregon Department of Fish and Wildlife v. Crook County (LUBA No. 2020-114, June 9, 2021)" </w:instrText>
      </w:r>
      <w:r w:rsidR="00FD546A">
        <w:fldChar w:fldCharType="end"/>
      </w:r>
      <w:r w:rsidR="00576E93">
        <w:t xml:space="preserve"> Slip Op at 17, 23, 27.</w:t>
      </w:r>
      <w:r w:rsidR="008F4972">
        <w:t xml:space="preserve">  </w:t>
      </w:r>
      <w:r w:rsidR="00B112D3">
        <w:t>The Board</w:t>
      </w:r>
      <w:r w:rsidR="00576E93">
        <w:t xml:space="preserve"> further rejects the County’s determination that the mitigation plan </w:t>
      </w:r>
      <w:r w:rsidR="00CF6988">
        <w:t>addressed significant fish and wildlife habitat</w:t>
      </w:r>
      <w:r w:rsidR="00440A35">
        <w:t xml:space="preserve">, to </w:t>
      </w:r>
      <w:r w:rsidR="00440A35" w:rsidRPr="002E1F36">
        <w:rPr>
          <w:i/>
        </w:rPr>
        <w:t>the County’s satisfaction</w:t>
      </w:r>
      <w:r w:rsidR="00440A35">
        <w:t>, consistent with</w:t>
      </w:r>
      <w:r w:rsidR="00576E93">
        <w:t xml:space="preserve"> the statutory re</w:t>
      </w:r>
      <w:r w:rsidR="00C55A27">
        <w:t>quirements to implement the State’s</w:t>
      </w:r>
      <w:r w:rsidR="00576E93">
        <w:t xml:space="preserve"> </w:t>
      </w:r>
      <w:r w:rsidR="002D3486">
        <w:t>Wildlife</w:t>
      </w:r>
      <w:r w:rsidR="00576E93">
        <w:t xml:space="preserve"> Policy and instead defers to </w:t>
      </w:r>
      <w:proofErr w:type="spellStart"/>
      <w:r w:rsidR="00576E93">
        <w:t>ODFW’s</w:t>
      </w:r>
      <w:proofErr w:type="spellEnd"/>
      <w:r w:rsidR="00576E93">
        <w:t xml:space="preserve"> determination that the mitigation plan did not meet the requirements of the statute to </w:t>
      </w:r>
      <w:proofErr w:type="spellStart"/>
      <w:r w:rsidR="00576E93">
        <w:t>ODFW’s</w:t>
      </w:r>
      <w:proofErr w:type="spellEnd"/>
      <w:r w:rsidR="00576E93">
        <w:t xml:space="preserve"> satisfaction.</w:t>
      </w:r>
      <w:r w:rsidR="00440A35">
        <w:t xml:space="preserve">  Slip Op at 21</w:t>
      </w:r>
      <w:r w:rsidR="00EA2DFC">
        <w:t>–</w:t>
      </w:r>
      <w:r w:rsidR="00440A35">
        <w:t>23</w:t>
      </w:r>
      <w:r w:rsidR="00461422">
        <w:fldChar w:fldCharType="begin"/>
      </w:r>
      <w:r w:rsidR="00461422">
        <w:instrText xml:space="preserve"> TA \s "Oregon Department of Fish and Wildlife v. Crook County (LUBA No. 2020-114) Slip Op at 17, 23, 27" </w:instrText>
      </w:r>
      <w:r w:rsidR="00461422">
        <w:fldChar w:fldCharType="end"/>
      </w:r>
      <w:r w:rsidR="00440A35">
        <w:t>.</w:t>
      </w:r>
    </w:p>
    <w:p w14:paraId="316203E0" w14:textId="64B75446" w:rsidR="00666DCB" w:rsidRDefault="00B112D3" w:rsidP="007F16EB">
      <w:pPr>
        <w:pStyle w:val="BodyText"/>
      </w:pPr>
      <w:r>
        <w:t>The Board</w:t>
      </w:r>
      <w:r w:rsidR="00576E93">
        <w:t xml:space="preserve"> interprets </w:t>
      </w:r>
      <w:proofErr w:type="spellStart"/>
      <w:r w:rsidR="00440A35">
        <w:t>ORS</w:t>
      </w:r>
      <w:proofErr w:type="spellEnd"/>
      <w:r w:rsidR="00440A35">
        <w:t xml:space="preserve"> 215.446</w:t>
      </w:r>
      <w:r w:rsidR="00461422">
        <w:fldChar w:fldCharType="begin"/>
      </w:r>
      <w:r w:rsidR="00461422">
        <w:instrText xml:space="preserve"> TA \l "</w:instrText>
      </w:r>
      <w:r w:rsidR="00461422" w:rsidRPr="00965CCC">
        <w:instrText>ORS 215.446(3)</w:instrText>
      </w:r>
      <w:r w:rsidR="00461422">
        <w:instrText xml:space="preserve">" \s "ORS 215.446(3)" \c 2 </w:instrText>
      </w:r>
      <w:r w:rsidR="00461422">
        <w:fldChar w:fldCharType="end"/>
      </w:r>
      <w:r w:rsidR="0067339D">
        <w:fldChar w:fldCharType="begin"/>
      </w:r>
      <w:r w:rsidR="0067339D">
        <w:instrText xml:space="preserve"> TA \s "ORS 215.446" </w:instrText>
      </w:r>
      <w:r w:rsidR="0067339D">
        <w:fldChar w:fldCharType="end"/>
      </w:r>
      <w:r w:rsidR="00440A35">
        <w:t>(2)</w:t>
      </w:r>
      <w:r w:rsidR="00164358">
        <w:fldChar w:fldCharType="begin"/>
      </w:r>
      <w:r w:rsidR="00164358">
        <w:instrText xml:space="preserve"> TA \s "ORS 215.446(2)" </w:instrText>
      </w:r>
      <w:r w:rsidR="00164358">
        <w:fldChar w:fldCharType="end"/>
      </w:r>
      <w:r w:rsidR="00440A35">
        <w:t xml:space="preserve"> and (3)</w:t>
      </w:r>
      <w:r w:rsidR="008F24DA">
        <w:t xml:space="preserve"> in a manner that is incongruous with the intent of the bill</w:t>
      </w:r>
      <w:r w:rsidR="000011F7">
        <w:t xml:space="preserve"> and with </w:t>
      </w:r>
      <w:r w:rsidR="00340FD6">
        <w:t xml:space="preserve">the plain </w:t>
      </w:r>
      <w:r w:rsidR="00F70513">
        <w:t xml:space="preserve">language </w:t>
      </w:r>
      <w:r w:rsidR="00340FD6">
        <w:t>of the statute</w:t>
      </w:r>
      <w:r w:rsidR="00A24AFE">
        <w:t xml:space="preserve">.  </w:t>
      </w:r>
      <w:proofErr w:type="spellStart"/>
      <w:r w:rsidR="000644C4">
        <w:t>LUBA</w:t>
      </w:r>
      <w:proofErr w:type="spellEnd"/>
      <w:r w:rsidR="000644C4">
        <w:t xml:space="preserve"> inserts a requirement that an applicant must comply with “all” administrative rules adopted for the purposes of </w:t>
      </w:r>
      <w:r w:rsidR="000644C4">
        <w:lastRenderedPageBreak/>
        <w:t xml:space="preserve">implementing </w:t>
      </w:r>
      <w:proofErr w:type="spellStart"/>
      <w:r w:rsidR="000644C4">
        <w:t>ORS</w:t>
      </w:r>
      <w:proofErr w:type="spellEnd"/>
      <w:r w:rsidR="000644C4">
        <w:t xml:space="preserve"> 496.012</w:t>
      </w:r>
      <w:r w:rsidR="00461422">
        <w:fldChar w:fldCharType="begin"/>
      </w:r>
      <w:r w:rsidR="00461422">
        <w:instrText xml:space="preserve"> TA \l "</w:instrText>
      </w:r>
      <w:r w:rsidR="00461422" w:rsidRPr="00965CCC">
        <w:instrText>ORS 496.012</w:instrText>
      </w:r>
      <w:r w:rsidR="00461422">
        <w:instrText xml:space="preserve">" \s "ORS 496.012" \c 2 </w:instrText>
      </w:r>
      <w:r w:rsidR="00461422">
        <w:fldChar w:fldCharType="end"/>
      </w:r>
      <w:r w:rsidR="000644C4">
        <w:t xml:space="preserve">, </w:t>
      </w:r>
      <w:r w:rsidR="00666DCB">
        <w:t>while a</w:t>
      </w:r>
      <w:r w:rsidR="000644C4">
        <w:t xml:space="preserve">dmonishing petitioner for inserting “it deems applicable” after the phrase “administrative rules adopted * * * for the purposes of implementing </w:t>
      </w:r>
      <w:proofErr w:type="spellStart"/>
      <w:r w:rsidR="000644C4">
        <w:t>ORS</w:t>
      </w:r>
      <w:proofErr w:type="spellEnd"/>
      <w:r w:rsidR="000644C4">
        <w:t xml:space="preserve"> 496.012</w:t>
      </w:r>
      <w:r w:rsidR="00461422">
        <w:fldChar w:fldCharType="begin"/>
      </w:r>
      <w:r w:rsidR="00461422">
        <w:instrText xml:space="preserve"> TA \s "ORS 496.012" </w:instrText>
      </w:r>
      <w:r w:rsidR="00461422">
        <w:fldChar w:fldCharType="end"/>
      </w:r>
      <w:r w:rsidR="000644C4">
        <w:t xml:space="preserve">.”  </w:t>
      </w:r>
      <w:r w:rsidR="001A2278">
        <w:t>Slip Op at 17</w:t>
      </w:r>
      <w:r w:rsidR="004A56A7">
        <w:fldChar w:fldCharType="begin"/>
      </w:r>
      <w:r w:rsidR="004A56A7">
        <w:instrText xml:space="preserve"> TA \s "Oregon Department of Fish and Wildlife v. Crook County (LUBA No. 2020-114) Slip Op at 17, 23, 27" </w:instrText>
      </w:r>
      <w:r w:rsidR="004A56A7">
        <w:fldChar w:fldCharType="end"/>
      </w:r>
      <w:r w:rsidR="001A2278">
        <w:t xml:space="preserve">.  </w:t>
      </w:r>
      <w:r w:rsidR="002E7F17">
        <w:t xml:space="preserve">But </w:t>
      </w:r>
      <w:proofErr w:type="spellStart"/>
      <w:r w:rsidR="002E7F17">
        <w:t>LUBA’s</w:t>
      </w:r>
      <w:proofErr w:type="spellEnd"/>
      <w:r w:rsidR="002E7F17">
        <w:t xml:space="preserve"> insertion of “all” is neither necessary to give meaning to the clause, nor a supportable conclusion in light of the legislative history.  </w:t>
      </w:r>
      <w:r w:rsidR="00B348BF">
        <w:t>The Board</w:t>
      </w:r>
      <w:r w:rsidR="000644C4">
        <w:t xml:space="preserve"> ignores that </w:t>
      </w:r>
      <w:r w:rsidR="00666DCB">
        <w:t>counties already have an obligation generally to determine what standards and criteria are applicable when considering land use</w:t>
      </w:r>
      <w:r w:rsidR="000644C4">
        <w:t xml:space="preserve"> permit</w:t>
      </w:r>
      <w:r w:rsidR="00666DCB">
        <w:t>s</w:t>
      </w:r>
      <w:r w:rsidR="000644C4">
        <w:t xml:space="preserve"> </w:t>
      </w:r>
      <w:r w:rsidR="00666DCB">
        <w:t xml:space="preserve">under </w:t>
      </w:r>
      <w:proofErr w:type="spellStart"/>
      <w:r w:rsidR="000644C4">
        <w:t>ORS</w:t>
      </w:r>
      <w:proofErr w:type="spellEnd"/>
      <w:r w:rsidR="000644C4">
        <w:t xml:space="preserve"> 215.416</w:t>
      </w:r>
      <w:r w:rsidR="00666DCB">
        <w:t xml:space="preserve">.  In other words, it is not inconsistent with </w:t>
      </w:r>
      <w:r w:rsidR="00340FD6">
        <w:t>the statutory language</w:t>
      </w:r>
      <w:r w:rsidR="00666DCB">
        <w:t xml:space="preserve"> for counties, </w:t>
      </w:r>
      <w:r w:rsidR="00340FD6">
        <w:t>in performing their customary land use permitting role</w:t>
      </w:r>
      <w:r w:rsidR="001A2278">
        <w:t>,</w:t>
      </w:r>
      <w:r w:rsidR="00666DCB">
        <w:t xml:space="preserve"> to consider and determine</w:t>
      </w:r>
      <w:r w:rsidR="001A2278">
        <w:t xml:space="preserve"> </w:t>
      </w:r>
      <w:r w:rsidR="00666DCB">
        <w:t xml:space="preserve">which </w:t>
      </w:r>
      <w:r w:rsidR="001A2278">
        <w:t xml:space="preserve">state </w:t>
      </w:r>
      <w:r w:rsidR="00340FD6">
        <w:t>“</w:t>
      </w:r>
      <w:r w:rsidR="00666DCB">
        <w:t>administrative rules</w:t>
      </w:r>
      <w:r w:rsidR="00340FD6">
        <w:t>”</w:t>
      </w:r>
      <w:r w:rsidR="001A2278">
        <w:t xml:space="preserve"> apply in accordance with their plain meaning</w:t>
      </w:r>
      <w:r w:rsidR="002E7F17">
        <w:t xml:space="preserve"> to evaluate whether a mitigation plan is consistent with those rules</w:t>
      </w:r>
      <w:r w:rsidR="001A2278">
        <w:t>.</w:t>
      </w:r>
    </w:p>
    <w:p w14:paraId="774B0185" w14:textId="5DDC6614" w:rsidR="00D31EEC" w:rsidRDefault="00A24AFE" w:rsidP="005D31A4">
      <w:pPr>
        <w:pStyle w:val="BodyText"/>
      </w:pPr>
      <w:r>
        <w:t xml:space="preserve">The </w:t>
      </w:r>
      <w:r w:rsidR="000644C4">
        <w:t xml:space="preserve">legislature’s </w:t>
      </w:r>
      <w:r>
        <w:t xml:space="preserve">intent was to </w:t>
      </w:r>
      <w:r w:rsidR="00B12E9B">
        <w:t>remove</w:t>
      </w:r>
      <w:r w:rsidR="00D10A77">
        <w:t xml:space="preserve"> barriers to permitting by creating</w:t>
      </w:r>
      <w:r>
        <w:t xml:space="preserve"> an opportunity for </w:t>
      </w:r>
      <w:r w:rsidR="003D39CC">
        <w:t xml:space="preserve">a </w:t>
      </w:r>
      <w:r w:rsidR="00F70513">
        <w:t>less expensive, faster process tailored to the location of the proposed facility</w:t>
      </w:r>
      <w:r>
        <w:t xml:space="preserve"> while maintaining a rough equilibrium</w:t>
      </w:r>
      <w:r w:rsidR="00627C74">
        <w:t xml:space="preserve"> in</w:t>
      </w:r>
      <w:r w:rsidR="000B6BA1">
        <w:t xml:space="preserve"> </w:t>
      </w:r>
      <w:r w:rsidR="003A213E">
        <w:t xml:space="preserve">the application of statewide siting policy </w:t>
      </w:r>
      <w:r w:rsidR="000B6BA1">
        <w:t xml:space="preserve">among </w:t>
      </w:r>
      <w:proofErr w:type="spellStart"/>
      <w:r w:rsidR="003A213E">
        <w:t>EFSC</w:t>
      </w:r>
      <w:proofErr w:type="spellEnd"/>
      <w:r w:rsidR="003A213E">
        <w:t xml:space="preserve"> and counties</w:t>
      </w:r>
      <w:r w:rsidR="000B6BA1">
        <w:t>.</w:t>
      </w:r>
      <w:r>
        <w:t xml:space="preserve">  </w:t>
      </w:r>
      <w:r w:rsidR="00555752" w:rsidRPr="00555752">
        <w:rPr>
          <w:i/>
        </w:rPr>
        <w:t>See</w:t>
      </w:r>
      <w:r w:rsidR="00555752">
        <w:t xml:space="preserve"> West Prineville Solar ER</w:t>
      </w:r>
      <w:r w:rsidR="000D7D85">
        <w:t> </w:t>
      </w:r>
      <w:r w:rsidR="00555752">
        <w:t>041</w:t>
      </w:r>
      <w:r w:rsidR="000D7D85">
        <w:t>–</w:t>
      </w:r>
      <w:r w:rsidR="00555752">
        <w:t xml:space="preserve">043.  </w:t>
      </w:r>
      <w:proofErr w:type="spellStart"/>
      <w:r>
        <w:t>LUBA’s</w:t>
      </w:r>
      <w:proofErr w:type="spellEnd"/>
      <w:r>
        <w:t xml:space="preserve"> interpretation departs from this </w:t>
      </w:r>
      <w:r w:rsidR="00F70513">
        <w:t xml:space="preserve">intent because it imposes requirements beyond </w:t>
      </w:r>
      <w:r w:rsidR="00E035FA">
        <w:t>the County’s</w:t>
      </w:r>
      <w:r w:rsidR="00F70513">
        <w:t xml:space="preserve"> satisfaction</w:t>
      </w:r>
      <w:r w:rsidR="000B6BA1">
        <w:t xml:space="preserve"> </w:t>
      </w:r>
      <w:r w:rsidR="00E035FA">
        <w:t>with implementation of</w:t>
      </w:r>
      <w:r w:rsidR="00340FD6">
        <w:t xml:space="preserve"> provisions of the</w:t>
      </w:r>
      <w:r w:rsidR="000B6BA1">
        <w:t xml:space="preserve"> </w:t>
      </w:r>
      <w:r w:rsidR="00CB0448">
        <w:t>Wildlife P</w:t>
      </w:r>
      <w:r w:rsidR="000B6BA1">
        <w:t>olicy by</w:t>
      </w:r>
      <w:r w:rsidR="00E836EF">
        <w:t xml:space="preserve"> </w:t>
      </w:r>
      <w:r w:rsidR="00FC5314" w:rsidRPr="002E1F36">
        <w:t>add</w:t>
      </w:r>
      <w:r w:rsidR="000B6BA1" w:rsidRPr="002E1F36">
        <w:t>ing</w:t>
      </w:r>
      <w:r w:rsidR="00FC5314" w:rsidRPr="00E035FA">
        <w:t xml:space="preserve"> </w:t>
      </w:r>
      <w:r w:rsidR="00AF7EDF" w:rsidRPr="00E035FA">
        <w:t>technical</w:t>
      </w:r>
      <w:r w:rsidR="00AF7EDF">
        <w:t xml:space="preserve"> mitigation plan </w:t>
      </w:r>
      <w:r w:rsidR="00FC5314">
        <w:lastRenderedPageBreak/>
        <w:t>requirements</w:t>
      </w:r>
      <w:r w:rsidR="00251091">
        <w:t xml:space="preserve"> </w:t>
      </w:r>
      <w:r w:rsidR="00E035FA">
        <w:t>and imposing a requirement of</w:t>
      </w:r>
      <w:r w:rsidR="0064326D">
        <w:t xml:space="preserve"> </w:t>
      </w:r>
      <w:proofErr w:type="spellStart"/>
      <w:r w:rsidR="0064326D">
        <w:t>ODFW</w:t>
      </w:r>
      <w:proofErr w:type="spellEnd"/>
      <w:r w:rsidR="00E035FA">
        <w:t xml:space="preserve"> satisfaction</w:t>
      </w:r>
      <w:r w:rsidR="00D31EEC">
        <w:t>, which</w:t>
      </w:r>
      <w:r>
        <w:t xml:space="preserve"> </w:t>
      </w:r>
      <w:r w:rsidR="00E035FA">
        <w:t xml:space="preserve">do not appear in the statute and </w:t>
      </w:r>
      <w:r>
        <w:t xml:space="preserve">are not </w:t>
      </w:r>
      <w:r w:rsidR="00E035FA">
        <w:t xml:space="preserve">even </w:t>
      </w:r>
      <w:r>
        <w:t xml:space="preserve">imposed </w:t>
      </w:r>
      <w:r w:rsidR="00E035FA">
        <w:t>in the more onerous</w:t>
      </w:r>
      <w:r>
        <w:t xml:space="preserve"> </w:t>
      </w:r>
      <w:proofErr w:type="spellStart"/>
      <w:r w:rsidR="00D10A77">
        <w:t>EFSC</w:t>
      </w:r>
      <w:proofErr w:type="spellEnd"/>
      <w:r w:rsidR="00D10A77">
        <w:t xml:space="preserve"> </w:t>
      </w:r>
      <w:r>
        <w:t>sit</w:t>
      </w:r>
      <w:r w:rsidR="00E035FA">
        <w:t>ing process</w:t>
      </w:r>
      <w:r>
        <w:t xml:space="preserve">.  </w:t>
      </w:r>
      <w:r w:rsidR="00E035FA">
        <w:t>The Board seeks to impose</w:t>
      </w:r>
      <w:r w:rsidR="005D31A4">
        <w:t xml:space="preserve"> a </w:t>
      </w:r>
      <w:r w:rsidR="005D31A4" w:rsidRPr="002E1F36">
        <w:t>greater</w:t>
      </w:r>
      <w:r w:rsidR="005D31A4" w:rsidRPr="00E035FA">
        <w:t xml:space="preserve"> </w:t>
      </w:r>
      <w:r w:rsidR="005D31A4">
        <w:t xml:space="preserve">burden on applicants than currently </w:t>
      </w:r>
      <w:r w:rsidR="00D31EEC">
        <w:t>exists in</w:t>
      </w:r>
      <w:r w:rsidR="005D31A4">
        <w:t xml:space="preserve"> the </w:t>
      </w:r>
      <w:proofErr w:type="spellStart"/>
      <w:r w:rsidR="005D31A4">
        <w:t>EFSC</w:t>
      </w:r>
      <w:proofErr w:type="spellEnd"/>
      <w:r w:rsidR="005D31A4">
        <w:t xml:space="preserve"> siting process and creates</w:t>
      </w:r>
      <w:r w:rsidR="00B12E9B">
        <w:t xml:space="preserve"> a significant </w:t>
      </w:r>
      <w:r w:rsidR="005D31A4">
        <w:t xml:space="preserve">permitting </w:t>
      </w:r>
      <w:r w:rsidR="00B12E9B">
        <w:t>barrier</w:t>
      </w:r>
      <w:r w:rsidR="00D10A77">
        <w:t xml:space="preserve"> that </w:t>
      </w:r>
      <w:r w:rsidR="00340FD6">
        <w:t xml:space="preserve">these facilities </w:t>
      </w:r>
      <w:r w:rsidR="00D31EEC">
        <w:t xml:space="preserve">did not face </w:t>
      </w:r>
      <w:r w:rsidR="00340FD6">
        <w:t xml:space="preserve">at </w:t>
      </w:r>
      <w:proofErr w:type="spellStart"/>
      <w:r w:rsidR="00340FD6">
        <w:t>EFSC</w:t>
      </w:r>
      <w:proofErr w:type="spellEnd"/>
      <w:r w:rsidR="00D31EEC">
        <w:t>.  Such a result</w:t>
      </w:r>
      <w:r w:rsidR="00E035FA">
        <w:t xml:space="preserve"> contradicts the legislature</w:t>
      </w:r>
      <w:r w:rsidR="00AE1203">
        <w:t>’</w:t>
      </w:r>
      <w:r w:rsidR="00E035FA">
        <w:t xml:space="preserve">s purpose and intent in passing </w:t>
      </w:r>
      <w:proofErr w:type="spellStart"/>
      <w:r w:rsidR="00E035FA">
        <w:t>HB</w:t>
      </w:r>
      <w:proofErr w:type="spellEnd"/>
      <w:r w:rsidR="00E035FA">
        <w:t> 2329</w:t>
      </w:r>
      <w:r w:rsidR="00D10A77">
        <w:t>.</w:t>
      </w:r>
      <w:r w:rsidR="00251091" w:rsidRPr="00251091">
        <w:rPr>
          <w:rStyle w:val="FootnoteReference"/>
        </w:rPr>
        <w:t xml:space="preserve"> </w:t>
      </w:r>
    </w:p>
    <w:p w14:paraId="183B8570" w14:textId="61854975" w:rsidR="00D72918" w:rsidRDefault="00D72918" w:rsidP="005D31A4">
      <w:pPr>
        <w:pStyle w:val="BodyText"/>
      </w:pPr>
      <w:r>
        <w:t>T</w:t>
      </w:r>
      <w:r w:rsidR="00E035FA">
        <w:t>o illustrate, t</w:t>
      </w:r>
      <w:r>
        <w:t>he technical submittal requirement</w:t>
      </w:r>
      <w:r w:rsidR="00B12E9B">
        <w:t>s</w:t>
      </w:r>
      <w:r>
        <w:t xml:space="preserve"> of OAR 635-415-0020(8)</w:t>
      </w:r>
      <w:r w:rsidR="004A56A7">
        <w:fldChar w:fldCharType="begin"/>
      </w:r>
      <w:r w:rsidR="004A56A7">
        <w:instrText xml:space="preserve"> TA \s "OAR 635-415-0020(8)" </w:instrText>
      </w:r>
      <w:r w:rsidR="004A56A7">
        <w:fldChar w:fldCharType="end"/>
      </w:r>
      <w:r>
        <w:t xml:space="preserve"> are not required at </w:t>
      </w:r>
      <w:proofErr w:type="spellStart"/>
      <w:r>
        <w:t>EFSC</w:t>
      </w:r>
      <w:proofErr w:type="spellEnd"/>
      <w:r>
        <w:t xml:space="preserve">, nor is </w:t>
      </w:r>
      <w:proofErr w:type="spellStart"/>
      <w:r>
        <w:t>ODFW’s</w:t>
      </w:r>
      <w:proofErr w:type="spellEnd"/>
      <w:r>
        <w:t xml:space="preserve"> determination of consistency with the applicable standard.  </w:t>
      </w:r>
      <w:r w:rsidRPr="004D0AC5">
        <w:rPr>
          <w:i/>
        </w:rPr>
        <w:t>See</w:t>
      </w:r>
      <w:r>
        <w:t xml:space="preserve"> </w:t>
      </w:r>
      <w:r w:rsidR="004D0AC5">
        <w:t>OAR 345-022-0060</w:t>
      </w:r>
      <w:r w:rsidR="004A56A7">
        <w:fldChar w:fldCharType="begin"/>
      </w:r>
      <w:r w:rsidR="004A56A7">
        <w:instrText xml:space="preserve"> TA \l "</w:instrText>
      </w:r>
      <w:r w:rsidR="004A56A7" w:rsidRPr="00965CCC">
        <w:instrText>OAR 345-022-0060</w:instrText>
      </w:r>
      <w:r w:rsidR="004A56A7">
        <w:instrText xml:space="preserve">" \s "OAR 345-022-0060" \c 4 </w:instrText>
      </w:r>
      <w:r w:rsidR="004A56A7">
        <w:fldChar w:fldCharType="end"/>
      </w:r>
      <w:r w:rsidR="004D0AC5">
        <w:t xml:space="preserve"> (</w:t>
      </w:r>
      <w:proofErr w:type="spellStart"/>
      <w:r w:rsidR="004D0AC5">
        <w:t>EFSC</w:t>
      </w:r>
      <w:proofErr w:type="spellEnd"/>
      <w:r w:rsidR="004D0AC5">
        <w:t xml:space="preserve"> Fish and Wildlife Habitat standard requiring </w:t>
      </w:r>
      <w:proofErr w:type="spellStart"/>
      <w:r w:rsidR="004D0AC5">
        <w:t>EFSC</w:t>
      </w:r>
      <w:proofErr w:type="spellEnd"/>
      <w:r w:rsidR="004D0AC5">
        <w:t xml:space="preserve"> to find the design, construction and operation of the facility, taking into account mitigation, are </w:t>
      </w:r>
      <w:r w:rsidR="004D0AC5">
        <w:rPr>
          <w:i/>
          <w:iCs/>
        </w:rPr>
        <w:t xml:space="preserve">consistent with </w:t>
      </w:r>
      <w:r w:rsidR="004D0AC5" w:rsidRPr="004D0AC5">
        <w:rPr>
          <w:iCs/>
        </w:rPr>
        <w:t>stated criteria).</w:t>
      </w:r>
      <w:r w:rsidR="00B12E9B">
        <w:rPr>
          <w:rStyle w:val="FootnoteReference"/>
          <w:iCs/>
        </w:rPr>
        <w:footnoteReference w:id="5"/>
      </w:r>
      <w:r w:rsidR="004D0AC5">
        <w:t xml:space="preserve">  </w:t>
      </w:r>
      <w:r>
        <w:t xml:space="preserve">In addition, </w:t>
      </w:r>
      <w:proofErr w:type="spellStart"/>
      <w:r w:rsidRPr="00DF4DAB">
        <w:t>EFSC</w:t>
      </w:r>
      <w:proofErr w:type="spellEnd"/>
      <w:r w:rsidRPr="00DF4DAB">
        <w:t xml:space="preserve"> site certificates</w:t>
      </w:r>
      <w:r>
        <w:t xml:space="preserve"> </w:t>
      </w:r>
      <w:r w:rsidRPr="00DF4DAB">
        <w:t>regularly allow applicants</w:t>
      </w:r>
      <w:r w:rsidR="004D0AC5">
        <w:t xml:space="preserve">, </w:t>
      </w:r>
      <w:r w:rsidR="004D0AC5" w:rsidRPr="004D0AC5">
        <w:rPr>
          <w:i/>
        </w:rPr>
        <w:t>prior to construction but after issuance of the site certificate</w:t>
      </w:r>
      <w:r w:rsidR="004D0AC5">
        <w:t>,</w:t>
      </w:r>
      <w:r w:rsidRPr="00DF4DAB">
        <w:t xml:space="preserve"> to finalize </w:t>
      </w:r>
      <w:r>
        <w:t xml:space="preserve">and amend </w:t>
      </w:r>
      <w:r w:rsidRPr="00DF4DAB">
        <w:t xml:space="preserve">habitat mitigation and monitoring plans </w:t>
      </w:r>
      <w:r>
        <w:t>and to acquire the</w:t>
      </w:r>
      <w:r w:rsidRPr="00DF4DAB">
        <w:t xml:space="preserve"> legal rights necessary to create, enhance, maintain and protect habitat </w:t>
      </w:r>
      <w:r w:rsidR="00E035FA">
        <w:t>with an</w:t>
      </w:r>
      <w:r w:rsidRPr="00DF4DAB">
        <w:t xml:space="preserve"> </w:t>
      </w:r>
      <w:proofErr w:type="spellStart"/>
      <w:r w:rsidRPr="00DF4DAB">
        <w:t>EFSC</w:t>
      </w:r>
      <w:proofErr w:type="spellEnd"/>
      <w:r w:rsidRPr="00DF4DAB">
        <w:t xml:space="preserve"> Final Order and Site Certificate’s requirement of no net loss of habitat </w:t>
      </w:r>
      <w:r w:rsidR="00E035FA">
        <w:t>(</w:t>
      </w:r>
      <w:r w:rsidRPr="00DF4DAB">
        <w:t>among other conditions</w:t>
      </w:r>
      <w:r w:rsidR="00E035FA">
        <w:t>)</w:t>
      </w:r>
      <w:r>
        <w:t>.</w:t>
      </w:r>
      <w:r w:rsidR="00895FBC">
        <w:rPr>
          <w:rStyle w:val="FootnoteReference"/>
        </w:rPr>
        <w:footnoteReference w:id="6"/>
      </w:r>
      <w:r>
        <w:t xml:space="preserve">  That is what the County d</w:t>
      </w:r>
      <w:r w:rsidR="004D0AC5">
        <w:t xml:space="preserve">etermined was </w:t>
      </w:r>
      <w:r w:rsidR="004D0AC5">
        <w:lastRenderedPageBreak/>
        <w:t>appropriate here</w:t>
      </w:r>
      <w:r>
        <w:t>.  This allows</w:t>
      </w:r>
      <w:r w:rsidRPr="00DF4DAB">
        <w:t xml:space="preserve"> applicant</w:t>
      </w:r>
      <w:r>
        <w:t>s</w:t>
      </w:r>
      <w:r w:rsidRPr="00DF4DAB">
        <w:t xml:space="preserve"> to </w:t>
      </w:r>
      <w:r>
        <w:t>phase project development and commitment of resources when pro</w:t>
      </w:r>
      <w:r w:rsidRPr="00DF4DAB">
        <w:t>ject construction plans and associated</w:t>
      </w:r>
      <w:r>
        <w:t xml:space="preserve"> impacts are finalized as well as to manage the feasibility of major financial commitments to projects that have advanced from the development to the construction phase.</w:t>
      </w:r>
      <w:r w:rsidR="00251091">
        <w:t xml:space="preserve">  </w:t>
      </w:r>
    </w:p>
    <w:p w14:paraId="3E7AE417" w14:textId="77777777" w:rsidR="00BA15B5" w:rsidRDefault="00BA15B5" w:rsidP="004D0AC5">
      <w:pPr>
        <w:pStyle w:val="BodyText"/>
      </w:pPr>
      <w:r>
        <w:t xml:space="preserve">This sequencing of </w:t>
      </w:r>
      <w:r w:rsidR="001B6EDE">
        <w:t xml:space="preserve">mitigation plan development does not mean the plans are less robust or </w:t>
      </w:r>
      <w:r w:rsidR="00AE1203">
        <w:t>un</w:t>
      </w:r>
      <w:r w:rsidR="001B6EDE">
        <w:t>enforceable.  Based on its experience in managing complex land development (including impacts to wildlife habitat) in Crook County and based on evidence in the whole record, the County’s policy choice was to require a plan that</w:t>
      </w:r>
      <w:r w:rsidR="00895FBC">
        <w:t xml:space="preserve"> </w:t>
      </w:r>
      <w:r w:rsidR="00FD545F">
        <w:t xml:space="preserve">was </w:t>
      </w:r>
      <w:r w:rsidR="00895FBC">
        <w:t xml:space="preserve">limited to options </w:t>
      </w:r>
      <w:r w:rsidR="001B6EDE">
        <w:t xml:space="preserve">recommended by </w:t>
      </w:r>
      <w:proofErr w:type="spellStart"/>
      <w:r w:rsidR="001B6EDE">
        <w:t>ODFW</w:t>
      </w:r>
      <w:proofErr w:type="spellEnd"/>
      <w:r w:rsidR="00FD545F">
        <w:t xml:space="preserve">.  </w:t>
      </w:r>
      <w:r w:rsidR="00FD545F">
        <w:rPr>
          <w:i/>
        </w:rPr>
        <w:t>See, e.g.</w:t>
      </w:r>
      <w:r w:rsidR="00FD545F">
        <w:t xml:space="preserve">, </w:t>
      </w:r>
      <w:r w:rsidR="00F04B00">
        <w:t xml:space="preserve">West Prineville Solar </w:t>
      </w:r>
      <w:r w:rsidR="00FD545F">
        <w:t>ER 201.</w:t>
      </w:r>
      <w:r w:rsidR="001B6EDE">
        <w:t xml:space="preserve"> </w:t>
      </w:r>
      <w:r w:rsidR="00FD545F">
        <w:t xml:space="preserve"> </w:t>
      </w:r>
      <w:r w:rsidR="001B6EDE" w:rsidRPr="002E1F36">
        <w:t>The</w:t>
      </w:r>
      <w:r w:rsidR="00CB0448">
        <w:t xml:space="preserve"> County plan also exceeded the S</w:t>
      </w:r>
      <w:r w:rsidR="001B6EDE" w:rsidRPr="002E1F36">
        <w:t>tate</w:t>
      </w:r>
      <w:r w:rsidR="00CB0448">
        <w:t xml:space="preserve"> Wildlife P</w:t>
      </w:r>
      <w:r w:rsidR="001B6EDE" w:rsidRPr="002E1F36">
        <w:t xml:space="preserve">olicy.  It not only required no net loss of habitat but also required a habitat uplift.  </w:t>
      </w:r>
      <w:r w:rsidR="00FD545F" w:rsidRPr="002E1F36">
        <w:t xml:space="preserve">West Prineville Solar </w:t>
      </w:r>
      <w:r w:rsidR="00FD545F">
        <w:t>ER 193, 201, 211–12.</w:t>
      </w:r>
    </w:p>
    <w:p w14:paraId="0B8D2E5C" w14:textId="26F7C2E9" w:rsidR="001D73D2" w:rsidRDefault="001D73D2">
      <w:pPr>
        <w:pStyle w:val="BodyText"/>
      </w:pPr>
      <w:r>
        <w:t>I</w:t>
      </w:r>
      <w:r w:rsidR="00B112D3">
        <w:t>n addition to the incongruous practical effect of the Board’s interpretation, i</w:t>
      </w:r>
      <w:r>
        <w:t>t is hard to divine the</w:t>
      </w:r>
      <w:r w:rsidR="00D546D4">
        <w:t xml:space="preserve"> source of the</w:t>
      </w:r>
      <w:r>
        <w:t xml:space="preserve"> Board’s inference</w:t>
      </w:r>
      <w:r w:rsidR="00353D25">
        <w:t xml:space="preserve"> that </w:t>
      </w:r>
      <w:r>
        <w:t>“[all of] the administrative rules</w:t>
      </w:r>
      <w:r w:rsidR="00D546D4">
        <w:t>”</w:t>
      </w:r>
      <w:r w:rsidR="00353D25">
        <w:t xml:space="preserve"> must be applied to applications un</w:t>
      </w:r>
      <w:r w:rsidR="002A4E1B">
        <w:t xml:space="preserve">der </w:t>
      </w:r>
      <w:proofErr w:type="spellStart"/>
      <w:r w:rsidR="002A4E1B">
        <w:t>ORS</w:t>
      </w:r>
      <w:proofErr w:type="spellEnd"/>
      <w:r w:rsidR="002A4E1B">
        <w:t> </w:t>
      </w:r>
      <w:r w:rsidR="00353D25">
        <w:t>215.446</w:t>
      </w:r>
      <w:r w:rsidR="0067339D">
        <w:fldChar w:fldCharType="begin"/>
      </w:r>
      <w:r w:rsidR="0067339D">
        <w:instrText xml:space="preserve"> TA \s "ORS 215.446" </w:instrText>
      </w:r>
      <w:r w:rsidR="0067339D">
        <w:fldChar w:fldCharType="end"/>
      </w:r>
      <w:r w:rsidR="00353D25">
        <w:t>.</w:t>
      </w:r>
      <w:r>
        <w:t xml:space="preserve">  First, the Board does not explain w</w:t>
      </w:r>
      <w:r w:rsidR="00D10A77">
        <w:t>hy the legislature would choose to</w:t>
      </w:r>
      <w:r w:rsidR="007A18C2">
        <w:t xml:space="preserve"> depart from established roles under </w:t>
      </w:r>
      <w:proofErr w:type="spellStart"/>
      <w:r w:rsidR="007A18C2">
        <w:t>EFSC</w:t>
      </w:r>
      <w:proofErr w:type="spellEnd"/>
      <w:r w:rsidR="007A18C2">
        <w:t xml:space="preserve"> siting and Oregon land use framewo</w:t>
      </w:r>
      <w:r>
        <w:t>rks to</w:t>
      </w:r>
      <w:r w:rsidR="007A18C2">
        <w:t xml:space="preserve"> dramatically expand </w:t>
      </w:r>
      <w:proofErr w:type="spellStart"/>
      <w:r w:rsidR="007A18C2">
        <w:t>ODFW’s</w:t>
      </w:r>
      <w:proofErr w:type="spellEnd"/>
      <w:r w:rsidR="007A18C2">
        <w:t xml:space="preserve"> role</w:t>
      </w:r>
      <w:r w:rsidR="000B6BA1">
        <w:t xml:space="preserve"> with a </w:t>
      </w:r>
      <w:r w:rsidR="000B6BA1">
        <w:lastRenderedPageBreak/>
        <w:t>generic reference to “administrative rules</w:t>
      </w:r>
      <w:r w:rsidR="00BA15B5">
        <w:t>.</w:t>
      </w:r>
      <w:r w:rsidR="000B6BA1">
        <w:t>”</w:t>
      </w:r>
      <w:r w:rsidR="005D31A4">
        <w:t xml:space="preserve">  </w:t>
      </w:r>
      <w:r>
        <w:t>Second, a</w:t>
      </w:r>
      <w:r w:rsidR="00864E8C">
        <w:t xml:space="preserve">s noted above, </w:t>
      </w:r>
      <w:r>
        <w:t xml:space="preserve">counties, </w:t>
      </w:r>
      <w:r w:rsidR="00864E8C">
        <w:t>i</w:t>
      </w:r>
      <w:r>
        <w:t>n their land use permitting function,</w:t>
      </w:r>
      <w:r w:rsidR="00864E8C">
        <w:t xml:space="preserve"> customarily determine what state standards apply to an application according to their plain meaning.  Here, </w:t>
      </w:r>
      <w:r>
        <w:t xml:space="preserve">the </w:t>
      </w:r>
      <w:r w:rsidR="00864E8C">
        <w:t>rule governing t</w:t>
      </w:r>
      <w:r w:rsidR="000B6BA1">
        <w:t xml:space="preserve">he </w:t>
      </w:r>
      <w:r w:rsidR="00D10A77">
        <w:t xml:space="preserve">technical </w:t>
      </w:r>
      <w:r w:rsidR="00AF7EDF">
        <w:t xml:space="preserve">mitigation plan </w:t>
      </w:r>
      <w:r w:rsidR="00D10A77">
        <w:t>submittal requirements</w:t>
      </w:r>
      <w:r w:rsidR="001B6EDE">
        <w:t xml:space="preserve"> that </w:t>
      </w:r>
      <w:proofErr w:type="spellStart"/>
      <w:r w:rsidR="001B6EDE">
        <w:t>LUBA</w:t>
      </w:r>
      <w:proofErr w:type="spellEnd"/>
      <w:r w:rsidR="001B6EDE">
        <w:t xml:space="preserve"> seeks to</w:t>
      </w:r>
      <w:r w:rsidR="00864E8C">
        <w:t xml:space="preserve"> apply, on its</w:t>
      </w:r>
      <w:r w:rsidR="00D93816">
        <w:t xml:space="preserve"> face,</w:t>
      </w:r>
      <w:r w:rsidR="00D10A77">
        <w:t xml:space="preserve"> </w:t>
      </w:r>
      <w:r w:rsidR="00864E8C">
        <w:t>applies</w:t>
      </w:r>
      <w:r w:rsidR="001B6EDE">
        <w:t xml:space="preserve"> </w:t>
      </w:r>
      <w:r w:rsidR="00D10A77">
        <w:t xml:space="preserve">when </w:t>
      </w:r>
      <w:r w:rsidR="00E502B2">
        <w:t xml:space="preserve">the mitigation plan is being prepared for </w:t>
      </w:r>
      <w:proofErr w:type="spellStart"/>
      <w:r w:rsidR="00D10A77">
        <w:t>ODFW</w:t>
      </w:r>
      <w:proofErr w:type="spellEnd"/>
      <w:r w:rsidR="00AF7EDF">
        <w:t xml:space="preserve"> (not the county)</w:t>
      </w:r>
      <w:r w:rsidR="00E502B2">
        <w:t xml:space="preserve"> as</w:t>
      </w:r>
      <w:r w:rsidR="00D10A77">
        <w:t xml:space="preserve"> the permitting agency</w:t>
      </w:r>
      <w:r w:rsidR="00864E8C">
        <w:t xml:space="preserve">.  </w:t>
      </w:r>
      <w:r w:rsidR="00D546D4">
        <w:rPr>
          <w:i/>
        </w:rPr>
        <w:t>See, e.g.</w:t>
      </w:r>
      <w:r w:rsidR="00D546D4">
        <w:t>, OAR 635-415-0020(2)</w:t>
      </w:r>
      <w:r w:rsidR="004A56A7">
        <w:fldChar w:fldCharType="begin"/>
      </w:r>
      <w:r w:rsidR="004A56A7">
        <w:instrText xml:space="preserve"> TA \l "</w:instrText>
      </w:r>
      <w:r w:rsidR="004A56A7" w:rsidRPr="00965CCC">
        <w:instrText>OAR 635-415-0020(2)</w:instrText>
      </w:r>
      <w:r w:rsidR="004A56A7">
        <w:instrText xml:space="preserve">" \s "OAR 635-415-0020(2)" \c 4 </w:instrText>
      </w:r>
      <w:r w:rsidR="004A56A7">
        <w:fldChar w:fldCharType="end"/>
      </w:r>
      <w:r w:rsidR="00D546D4">
        <w:t xml:space="preserve"> (“for development actions * * *for which the Department has </w:t>
      </w:r>
      <w:r w:rsidR="00D546D4" w:rsidRPr="002E1F36">
        <w:rPr>
          <w:i/>
        </w:rPr>
        <w:t>statutory authority</w:t>
      </w:r>
      <w:r w:rsidR="00D546D4">
        <w:t xml:space="preserve"> to require mitigation as a</w:t>
      </w:r>
      <w:r w:rsidR="00AE1203">
        <w:t xml:space="preserve"> condition of a permit or order</w:t>
      </w:r>
      <w:r w:rsidR="00D546D4">
        <w:t>”</w:t>
      </w:r>
      <w:r w:rsidR="00AE1203">
        <w:t xml:space="preserve"> (emphasis added)</w:t>
      </w:r>
      <w:r w:rsidR="00D546D4">
        <w:t>)</w:t>
      </w:r>
      <w:r w:rsidR="002E1F36">
        <w:t>; OAR 635-415-0015(6)</w:t>
      </w:r>
      <w:r w:rsidR="004A56A7">
        <w:fldChar w:fldCharType="begin"/>
      </w:r>
      <w:r w:rsidR="004A56A7">
        <w:instrText xml:space="preserve"> TA \l "</w:instrText>
      </w:r>
      <w:r w:rsidR="004A56A7" w:rsidRPr="00965CCC">
        <w:instrText>OAR 635-415-0015(6)</w:instrText>
      </w:r>
      <w:r w:rsidR="004A56A7">
        <w:instrText xml:space="preserve">" \s "OAR 635-415-0015(6)" \c 4 </w:instrText>
      </w:r>
      <w:r w:rsidR="004A56A7">
        <w:fldChar w:fldCharType="end"/>
      </w:r>
      <w:r w:rsidR="002E1F36">
        <w:t xml:space="preserve"> (“Nothing in this policy shall be construed to vest authority in the Department where no such statutory or regulatory authority has been granted.”)</w:t>
      </w:r>
      <w:r w:rsidR="00864E8C">
        <w:t xml:space="preserve">  </w:t>
      </w:r>
    </w:p>
    <w:p w14:paraId="42383765" w14:textId="3FCE9FAB" w:rsidR="001A7899" w:rsidRDefault="001D73D2" w:rsidP="001A7899">
      <w:pPr>
        <w:pStyle w:val="BodyText"/>
      </w:pPr>
      <w:r>
        <w:t>Third, the Board’s</w:t>
      </w:r>
      <w:r w:rsidR="00864E8C">
        <w:t xml:space="preserve"> reading is</w:t>
      </w:r>
      <w:r w:rsidR="000D58BA">
        <w:t xml:space="preserve"> also</w:t>
      </w:r>
      <w:r w:rsidR="00864E8C">
        <w:t xml:space="preserve"> unnecessary to achieve </w:t>
      </w:r>
      <w:r>
        <w:t>the</w:t>
      </w:r>
      <w:r w:rsidR="00864E8C">
        <w:t xml:space="preserve"> goal of </w:t>
      </w:r>
      <w:r>
        <w:t xml:space="preserve">the legislation, including </w:t>
      </w:r>
      <w:proofErr w:type="spellStart"/>
      <w:r w:rsidR="00864E8C">
        <w:t>ORS</w:t>
      </w:r>
      <w:proofErr w:type="spellEnd"/>
      <w:r w:rsidR="00864E8C">
        <w:t xml:space="preserve"> 215.446(3)(a)(C)</w:t>
      </w:r>
      <w:r w:rsidR="004A56A7">
        <w:fldChar w:fldCharType="begin"/>
      </w:r>
      <w:r w:rsidR="004A56A7">
        <w:instrText xml:space="preserve"> TA \s "ORS 215.446(3)(a)(C)" </w:instrText>
      </w:r>
      <w:r w:rsidR="004A56A7">
        <w:fldChar w:fldCharType="end"/>
      </w:r>
      <w:r>
        <w:t xml:space="preserve">.  </w:t>
      </w:r>
      <w:r w:rsidR="00DE29B1">
        <w:t>T</w:t>
      </w:r>
      <w:r w:rsidR="00AF7EDF">
        <w:t>he legislative history</w:t>
      </w:r>
      <w:r w:rsidR="00DE29B1">
        <w:t xml:space="preserve"> clearly demonstrates</w:t>
      </w:r>
      <w:r w:rsidR="00AF7EDF">
        <w:t xml:space="preserve"> that the legislature was </w:t>
      </w:r>
      <w:r w:rsidR="00025B0F">
        <w:t>grappling with</w:t>
      </w:r>
      <w:r w:rsidR="007A2BA6">
        <w:t xml:space="preserve"> how to </w:t>
      </w:r>
      <w:r w:rsidR="007A18C2">
        <w:t>vest</w:t>
      </w:r>
      <w:r w:rsidR="00FA5849">
        <w:t xml:space="preserve"> </w:t>
      </w:r>
      <w:r w:rsidR="00AF7EDF">
        <w:t>discretionary</w:t>
      </w:r>
      <w:r w:rsidR="007A18C2">
        <w:t xml:space="preserve"> land use permit</w:t>
      </w:r>
      <w:r w:rsidR="00AF7EDF">
        <w:t xml:space="preserve"> d</w:t>
      </w:r>
      <w:r w:rsidR="00025B0F">
        <w:t>ecision-</w:t>
      </w:r>
      <w:r w:rsidR="00AF7EDF">
        <w:t xml:space="preserve">making authority </w:t>
      </w:r>
      <w:r w:rsidR="007A18C2">
        <w:t>with</w:t>
      </w:r>
      <w:r w:rsidR="00AF7EDF">
        <w:t xml:space="preserve"> counties</w:t>
      </w:r>
      <w:r w:rsidR="00025B0F">
        <w:t xml:space="preserve"> </w:t>
      </w:r>
      <w:r w:rsidR="00503A54">
        <w:t>on balance</w:t>
      </w:r>
      <w:r w:rsidR="00025B0F">
        <w:t xml:space="preserve"> with </w:t>
      </w:r>
      <w:r w:rsidR="00DE50C0">
        <w:t>statewide energy policy</w:t>
      </w:r>
      <w:r w:rsidR="00025B0F">
        <w:t xml:space="preserve">.  </w:t>
      </w:r>
      <w:r w:rsidR="00AE1203">
        <w:t xml:space="preserve">West Prineville Solar ER </w:t>
      </w:r>
      <w:r w:rsidR="00EE66F1">
        <w:t>042</w:t>
      </w:r>
      <w:r w:rsidR="00503A54">
        <w:t>–</w:t>
      </w:r>
      <w:r w:rsidR="00EE66F1">
        <w:t>0</w:t>
      </w:r>
      <w:r w:rsidR="00AE1203">
        <w:t>43 (</w:t>
      </w:r>
      <w:r w:rsidR="00DE29B1" w:rsidRPr="00AE1203">
        <w:t xml:space="preserve">Representative Helm noting that the bill’s standards are “not as super rigorous” as the ones in the “regular </w:t>
      </w:r>
      <w:proofErr w:type="spellStart"/>
      <w:r w:rsidR="00DE29B1" w:rsidRPr="00AE1203">
        <w:t>EFSC</w:t>
      </w:r>
      <w:proofErr w:type="spellEnd"/>
      <w:r w:rsidR="00DE29B1" w:rsidRPr="00AE1203">
        <w:t xml:space="preserve"> process” but are “intended to get at the same goals and protect the same</w:t>
      </w:r>
      <w:r w:rsidR="00AE1203" w:rsidRPr="00AE1203">
        <w:t xml:space="preserve"> values”)</w:t>
      </w:r>
      <w:r w:rsidR="00AE1203">
        <w:t>.</w:t>
      </w:r>
      <w:r w:rsidR="004D04E9">
        <w:t xml:space="preserve">  </w:t>
      </w:r>
      <w:proofErr w:type="spellStart"/>
      <w:r w:rsidR="00627C74">
        <w:t>HB</w:t>
      </w:r>
      <w:proofErr w:type="spellEnd"/>
      <w:r w:rsidR="00627C74">
        <w:t xml:space="preserve"> 2329 was a heavily negotiated bill and, as such, it</w:t>
      </w:r>
      <w:r w:rsidR="00CA3C21">
        <w:t xml:space="preserve"> was not</w:t>
      </w:r>
      <w:r w:rsidR="00A5474F">
        <w:t xml:space="preserve"> a perfect solution for each stakeholder in </w:t>
      </w:r>
      <w:r w:rsidR="00A5474F">
        <w:lastRenderedPageBreak/>
        <w:t>the process.  But</w:t>
      </w:r>
      <w:r w:rsidR="00CA3C21">
        <w:t>, it was a purposeful one.  Th</w:t>
      </w:r>
      <w:r w:rsidR="00E502B2">
        <w:t>e legislative record establishes</w:t>
      </w:r>
      <w:r w:rsidR="00CA3C21">
        <w:t xml:space="preserve"> that </w:t>
      </w:r>
      <w:proofErr w:type="spellStart"/>
      <w:r w:rsidR="00CA3C21">
        <w:t>EFSC</w:t>
      </w:r>
      <w:proofErr w:type="spellEnd"/>
      <w:r w:rsidR="00A5474F">
        <w:t xml:space="preserve"> was a</w:t>
      </w:r>
      <w:r w:rsidR="00CA3C21">
        <w:t>n expert decision</w:t>
      </w:r>
      <w:r w:rsidR="00BA2821">
        <w:t>-</w:t>
      </w:r>
      <w:r w:rsidR="00CA3C21">
        <w:t xml:space="preserve">making authority of uniform siting policy, but that it created meaningful barriers for realizing Oregon’s clean </w:t>
      </w:r>
      <w:r w:rsidR="00BA2821">
        <w:t xml:space="preserve">energy </w:t>
      </w:r>
      <w:r w:rsidR="00CA3C21">
        <w:t xml:space="preserve">economy. </w:t>
      </w:r>
      <w:r w:rsidR="00A5474F">
        <w:t xml:space="preserve"> </w:t>
      </w:r>
      <w:r w:rsidR="00CA3C21">
        <w:t>The legisla</w:t>
      </w:r>
      <w:r w:rsidR="00E502B2">
        <w:t>tive record further demonstrates</w:t>
      </w:r>
      <w:r w:rsidR="00CA3C21">
        <w:t xml:space="preserve"> that counties have expertise in permitting complex </w:t>
      </w:r>
      <w:r w:rsidR="00FA5849">
        <w:t>energy facilities</w:t>
      </w:r>
      <w:r w:rsidR="00CA3C21">
        <w:t xml:space="preserve"> in a manner that can remove or reduce barriers present at </w:t>
      </w:r>
      <w:proofErr w:type="spellStart"/>
      <w:r w:rsidR="00CA3C21">
        <w:t>EFSC</w:t>
      </w:r>
      <w:proofErr w:type="spellEnd"/>
      <w:r w:rsidR="00CA3C21">
        <w:t xml:space="preserve"> for </w:t>
      </w:r>
      <w:r w:rsidR="00B60507">
        <w:t>mid-sized Renewable Energy Facilities</w:t>
      </w:r>
      <w:r w:rsidR="00BA2821">
        <w:t xml:space="preserve">.  To balance </w:t>
      </w:r>
      <w:r w:rsidR="00503A54">
        <w:t>state energy policy</w:t>
      </w:r>
      <w:r w:rsidR="00BA2821">
        <w:t>, with</w:t>
      </w:r>
      <w:r w:rsidR="00CA3C21">
        <w:t xml:space="preserve"> the diversity of local code requirements</w:t>
      </w:r>
      <w:r w:rsidR="00BA2821">
        <w:t>, the legislature chose</w:t>
      </w:r>
      <w:r w:rsidR="00CA3C21">
        <w:t xml:space="preserve"> to authorize counties to exercise </w:t>
      </w:r>
      <w:r w:rsidR="007A18C2">
        <w:t>land use permit</w:t>
      </w:r>
      <w:r w:rsidR="00CA3C21">
        <w:t xml:space="preserve"> authority</w:t>
      </w:r>
      <w:r w:rsidR="007A2BA6">
        <w:t xml:space="preserve"> over mid-sized Renewable Energy Facilities</w:t>
      </w:r>
      <w:r w:rsidR="00CA3C21">
        <w:t xml:space="preserve"> </w:t>
      </w:r>
      <w:r w:rsidR="00503A54">
        <w:t>while supplementing</w:t>
      </w:r>
      <w:r w:rsidR="002D422A">
        <w:t xml:space="preserve"> </w:t>
      </w:r>
      <w:r w:rsidR="00BA2821">
        <w:t xml:space="preserve">divergent </w:t>
      </w:r>
      <w:r w:rsidR="002D422A">
        <w:t>county standards to enable</w:t>
      </w:r>
      <w:r w:rsidR="00CD57F9">
        <w:t xml:space="preserve"> a </w:t>
      </w:r>
      <w:r w:rsidR="00CA3C21">
        <w:t xml:space="preserve">roughly </w:t>
      </w:r>
      <w:r w:rsidR="002D422A">
        <w:t>symmetrical, yet more flexible,</w:t>
      </w:r>
      <w:r w:rsidR="00CA3C21">
        <w:t xml:space="preserve"> approach to Oregon siting policy</w:t>
      </w:r>
      <w:r w:rsidR="00171922">
        <w:t xml:space="preserve"> </w:t>
      </w:r>
      <w:r w:rsidR="00503A54">
        <w:t xml:space="preserve">than </w:t>
      </w:r>
      <w:r w:rsidR="00171922">
        <w:t xml:space="preserve">that exercised at </w:t>
      </w:r>
      <w:proofErr w:type="spellStart"/>
      <w:r w:rsidR="00171922">
        <w:t>EFSC</w:t>
      </w:r>
      <w:proofErr w:type="spellEnd"/>
      <w:r w:rsidR="00CA3C21">
        <w:t xml:space="preserve">.  </w:t>
      </w:r>
      <w:r w:rsidR="00AE1203" w:rsidRPr="00AE1203">
        <w:rPr>
          <w:i/>
        </w:rPr>
        <w:t>See</w:t>
      </w:r>
      <w:r w:rsidR="004A56A7">
        <w:t xml:space="preserve"> West Prineville Solar ER </w:t>
      </w:r>
      <w:r w:rsidR="00AE1203">
        <w:t>040</w:t>
      </w:r>
      <w:r w:rsidR="00503A54">
        <w:t>–</w:t>
      </w:r>
      <w:r w:rsidR="00AE1203">
        <w:t>043.</w:t>
      </w:r>
      <w:r w:rsidR="00DE29B1">
        <w:t xml:space="preserve">  </w:t>
      </w:r>
      <w:r w:rsidR="001A7899">
        <w:t xml:space="preserve">This </w:t>
      </w:r>
      <w:r w:rsidR="00503A54">
        <w:t xml:space="preserve">supplementation </w:t>
      </w:r>
      <w:r w:rsidR="001A7899">
        <w:t xml:space="preserve">included language to ensure that counties can exercise their land use permitting discretion but in a manner that is consistent with the </w:t>
      </w:r>
      <w:r w:rsidR="00CB0448">
        <w:t>Wildlife</w:t>
      </w:r>
      <w:r w:rsidR="001A7899">
        <w:t xml:space="preserve"> Policy</w:t>
      </w:r>
      <w:r w:rsidR="00AE1203">
        <w:t xml:space="preserve">.  </w:t>
      </w:r>
      <w:r w:rsidR="00A32811" w:rsidRPr="00A32811">
        <w:rPr>
          <w:i/>
        </w:rPr>
        <w:t>See i</w:t>
      </w:r>
      <w:r w:rsidR="00AE1203" w:rsidRPr="00AE1203">
        <w:rPr>
          <w:i/>
        </w:rPr>
        <w:t>d</w:t>
      </w:r>
      <w:r w:rsidR="00AE1203">
        <w:t>.</w:t>
      </w:r>
      <w:r w:rsidR="00EE66F1">
        <w:t>; West Prineville Solar ER 019.</w:t>
      </w:r>
    </w:p>
    <w:p w14:paraId="01B1EB79" w14:textId="28FEFBC4" w:rsidR="001A7899" w:rsidRDefault="001A7899" w:rsidP="001A7899">
      <w:pPr>
        <w:pStyle w:val="BodyText"/>
      </w:pPr>
      <w:r>
        <w:t xml:space="preserve">Last, the Board’s reading is incongruous with the legislative history that the reference to “administrative rules” was intended to be a generic, not a specific or technical, reference to guide compliance with a state statute as a matter of legislative drafting preference. </w:t>
      </w:r>
      <w:r w:rsidR="00A32811">
        <w:t xml:space="preserve"> </w:t>
      </w:r>
      <w:r w:rsidR="00A32811" w:rsidRPr="00A32811">
        <w:rPr>
          <w:i/>
        </w:rPr>
        <w:t>See</w:t>
      </w:r>
      <w:r w:rsidR="00A32811">
        <w:t xml:space="preserve"> </w:t>
      </w:r>
      <w:r w:rsidR="00AE1203">
        <w:t>West Prineville Solar ER 19</w:t>
      </w:r>
      <w:r w:rsidR="00503A54">
        <w:t>–</w:t>
      </w:r>
      <w:r w:rsidR="00AE1203">
        <w:t>20</w:t>
      </w:r>
      <w:r w:rsidR="00835A01" w:rsidRPr="00835A01">
        <w:t xml:space="preserve"> </w:t>
      </w:r>
      <w:r w:rsidR="00835A01">
        <w:t xml:space="preserve">(Representative Helm responding to Senator Findley that categories listed in the -3 amendment “are borrowed from </w:t>
      </w:r>
      <w:proofErr w:type="spellStart"/>
      <w:r w:rsidR="00835A01">
        <w:t>ODFW</w:t>
      </w:r>
      <w:proofErr w:type="spellEnd"/>
      <w:r w:rsidR="00835A01">
        <w:t xml:space="preserve"> rule</w:t>
      </w:r>
      <w:r w:rsidR="00503A54">
        <w:t>[s]</w:t>
      </w:r>
      <w:r w:rsidR="00835A01">
        <w:t xml:space="preserve">” and that “[t]hat’s one of the changes that I would be seeking to do. We cannot simply adopt administrative </w:t>
      </w:r>
      <w:r w:rsidR="00835A01">
        <w:lastRenderedPageBreak/>
        <w:t>rules by reference in our statutes because the rules can cha</w:t>
      </w:r>
      <w:r w:rsidR="00AE1203">
        <w:t>nge, but our statutes don’t.”).</w:t>
      </w:r>
      <w:r w:rsidR="00835A01">
        <w:t xml:space="preserve"> </w:t>
      </w:r>
    </w:p>
    <w:p w14:paraId="3A22F79D" w14:textId="2D4F575D" w:rsidR="001E09D3" w:rsidRDefault="003B7B9F" w:rsidP="00573198">
      <w:pPr>
        <w:pStyle w:val="BodyText"/>
      </w:pPr>
      <w:r>
        <w:t>In summary, t</w:t>
      </w:r>
      <w:r w:rsidR="00FA5849">
        <w:t xml:space="preserve">he legislature </w:t>
      </w:r>
      <w:r>
        <w:t>vested counties with land use permitting over mid-sized Renewable Energy Facilities.  This is a d</w:t>
      </w:r>
      <w:r w:rsidR="00FA5849">
        <w:t xml:space="preserve">ecision-making framework in which counties regularly exercise discretion and determine the applicability of standards and criteria.  </w:t>
      </w:r>
      <w:r w:rsidR="00D61D4B">
        <w:t>The Court should not construe the legislature’s</w:t>
      </w:r>
      <w:r w:rsidR="00DE50C0">
        <w:t xml:space="preserve"> drafting preference as obliquely </w:t>
      </w:r>
      <w:r w:rsidR="007A18C2">
        <w:t xml:space="preserve">expanding the role of a </w:t>
      </w:r>
      <w:r w:rsidR="00DE50C0">
        <w:t xml:space="preserve">third agency with de facto decision-making authority </w:t>
      </w:r>
      <w:r w:rsidR="007A18C2">
        <w:t>in a manner</w:t>
      </w:r>
      <w:r w:rsidR="00DE50C0">
        <w:t xml:space="preserve"> that both upsets the decision-making status quo and overthrows the intent of the legislation.</w:t>
      </w:r>
      <w:r w:rsidR="00DE29B1">
        <w:t xml:space="preserve"> </w:t>
      </w:r>
      <w:r w:rsidR="00EE66F1">
        <w:t xml:space="preserve"> </w:t>
      </w:r>
      <w:r w:rsidR="00EE66F1" w:rsidRPr="00EE66F1">
        <w:rPr>
          <w:i/>
        </w:rPr>
        <w:t>See</w:t>
      </w:r>
      <w:r w:rsidR="00EE66F1">
        <w:t xml:space="preserve"> </w:t>
      </w:r>
      <w:r w:rsidR="00EE66F1" w:rsidRPr="00EE66F1">
        <w:rPr>
          <w:i/>
        </w:rPr>
        <w:t>also</w:t>
      </w:r>
      <w:r w:rsidR="00EE66F1">
        <w:t xml:space="preserve"> West Prineville Solar ER 040</w:t>
      </w:r>
      <w:r w:rsidR="00DE29B1">
        <w:t xml:space="preserve"> </w:t>
      </w:r>
      <w:r w:rsidR="00006AFA">
        <w:t xml:space="preserve">(Todd Cornett, assistant director at Oregon Energy Department responding to </w:t>
      </w:r>
      <w:r w:rsidR="00DE29B1" w:rsidRPr="00006AFA">
        <w:t xml:space="preserve">Representative Hayden explaining the effect of the bill as “basically </w:t>
      </w:r>
      <w:proofErr w:type="spellStart"/>
      <w:r w:rsidR="00DE29B1" w:rsidRPr="00006AFA">
        <w:t>chang</w:t>
      </w:r>
      <w:proofErr w:type="spellEnd"/>
      <w:r w:rsidR="00DE29B1" w:rsidRPr="00006AFA">
        <w:t>[</w:t>
      </w:r>
      <w:proofErr w:type="spellStart"/>
      <w:r w:rsidR="00DE29B1" w:rsidRPr="00006AFA">
        <w:t>ing</w:t>
      </w:r>
      <w:proofErr w:type="spellEnd"/>
      <w:r w:rsidR="00DE29B1" w:rsidRPr="00006AFA">
        <w:t>] who has jurisdiction</w:t>
      </w:r>
      <w:r w:rsidR="00DE29B1">
        <w:t>”</w:t>
      </w:r>
      <w:r w:rsidR="00006AFA">
        <w:t>).</w:t>
      </w:r>
    </w:p>
    <w:p w14:paraId="6A82229E" w14:textId="77777777" w:rsidR="00CC5472" w:rsidRPr="003F1625" w:rsidRDefault="00CC5472" w:rsidP="001935E8">
      <w:pPr>
        <w:pStyle w:val="Heading1"/>
      </w:pPr>
      <w:bookmarkStart w:id="15" w:name="_Toc78292826"/>
      <w:r w:rsidRPr="003F1625">
        <w:t>CONCLUSION</w:t>
      </w:r>
      <w:bookmarkEnd w:id="15"/>
    </w:p>
    <w:p w14:paraId="1D76E669" w14:textId="13526E26" w:rsidR="006110CF" w:rsidRPr="002951D5" w:rsidRDefault="00A10223" w:rsidP="00A10223">
      <w:pPr>
        <w:pStyle w:val="BodyText"/>
      </w:pPr>
      <w:r>
        <w:t xml:space="preserve">For the foregoing reasons, </w:t>
      </w:r>
      <w:proofErr w:type="spellStart"/>
      <w:r>
        <w:t>CREA</w:t>
      </w:r>
      <w:proofErr w:type="spellEnd"/>
      <w:r>
        <w:t xml:space="preserve"> </w:t>
      </w:r>
      <w:r w:rsidR="006110CF">
        <w:t xml:space="preserve">respectfully requests that the Court reverse </w:t>
      </w:r>
      <w:proofErr w:type="spellStart"/>
      <w:r w:rsidR="006110CF">
        <w:t>LUBA’s</w:t>
      </w:r>
      <w:proofErr w:type="spellEnd"/>
      <w:r w:rsidR="006110CF">
        <w:t xml:space="preserve"> decision</w:t>
      </w:r>
      <w:r w:rsidR="00BA2821">
        <w:t xml:space="preserve"> and correct its interpretation </w:t>
      </w:r>
      <w:r w:rsidR="006110CF">
        <w:t xml:space="preserve">as to the meaning of </w:t>
      </w:r>
      <w:proofErr w:type="spellStart"/>
      <w:r w:rsidR="006110CF">
        <w:t>ORS</w:t>
      </w:r>
      <w:proofErr w:type="spellEnd"/>
      <w:r w:rsidR="006110CF">
        <w:t xml:space="preserve"> 215.446</w:t>
      </w:r>
      <w:r w:rsidR="0067339D">
        <w:fldChar w:fldCharType="begin"/>
      </w:r>
      <w:r w:rsidR="0067339D">
        <w:instrText xml:space="preserve"> TA \s "ORS 215.446" </w:instrText>
      </w:r>
      <w:r w:rsidR="0067339D">
        <w:fldChar w:fldCharType="end"/>
      </w:r>
      <w:r w:rsidR="00BA2821">
        <w:t xml:space="preserve"> by giving</w:t>
      </w:r>
      <w:r w:rsidR="006110CF">
        <w:t xml:space="preserve"> effect to the phrase “to the satisfaction of the county.”</w:t>
      </w:r>
    </w:p>
    <w:p w14:paraId="757209E8" w14:textId="7E0D9FFB" w:rsidR="00CC5472" w:rsidRPr="003F1625" w:rsidRDefault="00CC5472" w:rsidP="007F16EB">
      <w:pPr>
        <w:pStyle w:val="BodyText"/>
      </w:pPr>
      <w:r w:rsidRPr="003F1625">
        <w:t xml:space="preserve">DATED this </w:t>
      </w:r>
      <w:r w:rsidR="00B22423">
        <w:t>28th</w:t>
      </w:r>
      <w:r w:rsidRPr="003F1625">
        <w:t xml:space="preserve"> day of </w:t>
      </w:r>
      <w:r w:rsidRPr="003F1625">
        <w:fldChar w:fldCharType="begin"/>
      </w:r>
      <w:r w:rsidRPr="003F1625">
        <w:instrText xml:space="preserve"> TIME \@ "MMMM, yyyy" </w:instrText>
      </w:r>
      <w:r w:rsidRPr="003F1625">
        <w:fldChar w:fldCharType="separate"/>
      </w:r>
      <w:r w:rsidR="00293B5B">
        <w:rPr>
          <w:noProof/>
        </w:rPr>
        <w:t>July, 2021</w:t>
      </w:r>
      <w:r w:rsidRPr="003F1625">
        <w:fldChar w:fldCharType="end"/>
      </w:r>
      <w:r w:rsidRPr="003F1625">
        <w:t>.</w:t>
      </w:r>
    </w:p>
    <w:tbl>
      <w:tblPr>
        <w:tblW w:w="5148" w:type="dxa"/>
        <w:tblInd w:w="3864" w:type="dxa"/>
        <w:tblLayout w:type="fixed"/>
        <w:tblLook w:val="0000" w:firstRow="0" w:lastRow="0" w:firstColumn="0" w:lastColumn="0" w:noHBand="0" w:noVBand="0"/>
      </w:tblPr>
      <w:tblGrid>
        <w:gridCol w:w="5148"/>
      </w:tblGrid>
      <w:tr w:rsidR="00CC5472" w:rsidRPr="003F1625" w14:paraId="2E4FE7EF" w14:textId="77777777">
        <w:trPr>
          <w:trHeight w:val="480"/>
        </w:trPr>
        <w:tc>
          <w:tcPr>
            <w:tcW w:w="5148" w:type="dxa"/>
            <w:tcBorders>
              <w:bottom w:val="nil"/>
            </w:tcBorders>
            <w:tcMar>
              <w:left w:w="0" w:type="dxa"/>
              <w:right w:w="0" w:type="dxa"/>
            </w:tcMar>
          </w:tcPr>
          <w:p w14:paraId="32F2F93A" w14:textId="77777777" w:rsidR="00CC5472" w:rsidRPr="003F1625" w:rsidRDefault="00076FCD">
            <w:pPr>
              <w:keepNext/>
              <w:keepLines/>
              <w:rPr>
                <w:sz w:val="28"/>
                <w:szCs w:val="28"/>
              </w:rPr>
            </w:pPr>
            <w:r w:rsidRPr="003F1625">
              <w:rPr>
                <w:sz w:val="28"/>
                <w:szCs w:val="28"/>
              </w:rPr>
              <w:lastRenderedPageBreak/>
              <w:t>KARNOPP PETERSEN LLP</w:t>
            </w:r>
          </w:p>
        </w:tc>
      </w:tr>
      <w:tr w:rsidR="00CC5472" w:rsidRPr="003F1625" w14:paraId="666622CD" w14:textId="77777777">
        <w:trPr>
          <w:trHeight w:val="522"/>
        </w:trPr>
        <w:tc>
          <w:tcPr>
            <w:tcW w:w="5148" w:type="dxa"/>
            <w:tcBorders>
              <w:bottom w:val="single" w:sz="4" w:space="0" w:color="auto"/>
            </w:tcBorders>
            <w:tcMar>
              <w:left w:w="0" w:type="dxa"/>
              <w:right w:w="0" w:type="dxa"/>
            </w:tcMar>
          </w:tcPr>
          <w:p w14:paraId="4A8188B3" w14:textId="77777777" w:rsidR="00CC5472" w:rsidRPr="003F1625" w:rsidRDefault="00CC5472">
            <w:pPr>
              <w:keepNext/>
              <w:keepLines/>
              <w:rPr>
                <w:sz w:val="28"/>
                <w:szCs w:val="28"/>
              </w:rPr>
            </w:pPr>
          </w:p>
        </w:tc>
      </w:tr>
      <w:tr w:rsidR="00CC5472" w:rsidRPr="003F1625" w14:paraId="202DC4D8" w14:textId="77777777" w:rsidTr="00B22423">
        <w:tc>
          <w:tcPr>
            <w:tcW w:w="5148" w:type="dxa"/>
            <w:tcBorders>
              <w:top w:val="single" w:sz="4" w:space="0" w:color="auto"/>
            </w:tcBorders>
            <w:tcMar>
              <w:left w:w="0" w:type="dxa"/>
              <w:right w:w="0" w:type="dxa"/>
            </w:tcMar>
          </w:tcPr>
          <w:p w14:paraId="77520243" w14:textId="77777777" w:rsidR="00CC5472" w:rsidRPr="003F1625" w:rsidRDefault="00076FCD" w:rsidP="00B22423">
            <w:pPr>
              <w:keepNext/>
              <w:keepLines/>
              <w:rPr>
                <w:sz w:val="28"/>
                <w:szCs w:val="28"/>
              </w:rPr>
            </w:pPr>
            <w:r w:rsidRPr="003F1625">
              <w:rPr>
                <w:sz w:val="28"/>
                <w:szCs w:val="28"/>
              </w:rPr>
              <w:t>Ellen H. Grover</w:t>
            </w:r>
            <w:r w:rsidR="004313E8" w:rsidRPr="003F1625">
              <w:rPr>
                <w:sz w:val="28"/>
                <w:szCs w:val="28"/>
              </w:rPr>
              <w:t xml:space="preserve">, </w:t>
            </w:r>
            <w:proofErr w:type="spellStart"/>
            <w:r w:rsidR="004313E8" w:rsidRPr="003F1625">
              <w:rPr>
                <w:sz w:val="28"/>
                <w:szCs w:val="28"/>
              </w:rPr>
              <w:t>OSB</w:t>
            </w:r>
            <w:proofErr w:type="spellEnd"/>
            <w:r w:rsidR="004313E8" w:rsidRPr="003F1625">
              <w:rPr>
                <w:sz w:val="28"/>
                <w:szCs w:val="28"/>
              </w:rPr>
              <w:t xml:space="preserve"> #</w:t>
            </w:r>
            <w:r w:rsidRPr="003F1625">
              <w:rPr>
                <w:sz w:val="28"/>
                <w:szCs w:val="28"/>
              </w:rPr>
              <w:t>991978</w:t>
            </w:r>
          </w:p>
        </w:tc>
      </w:tr>
      <w:tr w:rsidR="00B22423" w:rsidRPr="003F1625" w14:paraId="77B00471" w14:textId="77777777" w:rsidTr="00B22423">
        <w:tc>
          <w:tcPr>
            <w:tcW w:w="5148" w:type="dxa"/>
            <w:tcMar>
              <w:left w:w="0" w:type="dxa"/>
              <w:right w:w="0" w:type="dxa"/>
            </w:tcMar>
          </w:tcPr>
          <w:p w14:paraId="16E559BA" w14:textId="77777777" w:rsidR="00B22423" w:rsidRPr="003F1625" w:rsidRDefault="00B22423" w:rsidP="00B22423">
            <w:pPr>
              <w:keepNext/>
              <w:keepLines/>
              <w:rPr>
                <w:sz w:val="28"/>
                <w:szCs w:val="28"/>
              </w:rPr>
            </w:pPr>
            <w:r>
              <w:rPr>
                <w:sz w:val="28"/>
                <w:szCs w:val="28"/>
              </w:rPr>
              <w:t>Megan K. Beshai</w:t>
            </w:r>
            <w:r w:rsidRPr="003F1625">
              <w:rPr>
                <w:sz w:val="28"/>
                <w:szCs w:val="28"/>
              </w:rPr>
              <w:t xml:space="preserve">, </w:t>
            </w:r>
            <w:proofErr w:type="spellStart"/>
            <w:r w:rsidRPr="003F1625">
              <w:rPr>
                <w:sz w:val="28"/>
                <w:szCs w:val="28"/>
              </w:rPr>
              <w:t>OSB</w:t>
            </w:r>
            <w:proofErr w:type="spellEnd"/>
            <w:r w:rsidRPr="003F1625">
              <w:rPr>
                <w:sz w:val="28"/>
                <w:szCs w:val="28"/>
              </w:rPr>
              <w:t xml:space="preserve"> #</w:t>
            </w:r>
            <w:r>
              <w:rPr>
                <w:sz w:val="28"/>
                <w:szCs w:val="28"/>
              </w:rPr>
              <w:t>195564</w:t>
            </w:r>
          </w:p>
        </w:tc>
      </w:tr>
      <w:tr w:rsidR="00B22423" w:rsidRPr="003F1625" w14:paraId="4C755EEE" w14:textId="77777777" w:rsidTr="00B22423">
        <w:tc>
          <w:tcPr>
            <w:tcW w:w="5148" w:type="dxa"/>
            <w:tcMar>
              <w:left w:w="0" w:type="dxa"/>
              <w:right w:w="0" w:type="dxa"/>
            </w:tcMar>
          </w:tcPr>
          <w:p w14:paraId="36A75505" w14:textId="77777777" w:rsidR="00B22423" w:rsidRPr="003F1625" w:rsidRDefault="00B22423" w:rsidP="00B22423">
            <w:pPr>
              <w:keepNext/>
              <w:keepLines/>
              <w:rPr>
                <w:sz w:val="28"/>
                <w:szCs w:val="28"/>
              </w:rPr>
            </w:pPr>
            <w:r w:rsidRPr="003F1625">
              <w:rPr>
                <w:sz w:val="28"/>
                <w:szCs w:val="28"/>
              </w:rPr>
              <w:t>(541) 382-3011</w:t>
            </w:r>
          </w:p>
        </w:tc>
      </w:tr>
      <w:tr w:rsidR="00B22423" w:rsidRPr="003F1625" w14:paraId="0332D73D" w14:textId="77777777">
        <w:tc>
          <w:tcPr>
            <w:tcW w:w="5148" w:type="dxa"/>
            <w:tcMar>
              <w:left w:w="0" w:type="dxa"/>
              <w:right w:w="0" w:type="dxa"/>
            </w:tcMar>
          </w:tcPr>
          <w:p w14:paraId="4DC7C08E" w14:textId="77777777" w:rsidR="00B22423" w:rsidRPr="003F1625" w:rsidRDefault="00B22423" w:rsidP="00B22423">
            <w:pPr>
              <w:pStyle w:val="Signature"/>
              <w:keepLines/>
              <w:ind w:left="0"/>
              <w:rPr>
                <w:i/>
                <w:sz w:val="28"/>
                <w:szCs w:val="28"/>
              </w:rPr>
            </w:pPr>
            <w:r w:rsidRPr="003F1625">
              <w:rPr>
                <w:i/>
                <w:sz w:val="28"/>
                <w:szCs w:val="28"/>
              </w:rPr>
              <w:t xml:space="preserve">Of Attorneys for Amicus Curiae </w:t>
            </w:r>
          </w:p>
        </w:tc>
      </w:tr>
    </w:tbl>
    <w:p w14:paraId="5077F5DB" w14:textId="77777777" w:rsidR="00CC5472" w:rsidRPr="003F1625" w:rsidRDefault="00CC5472">
      <w:pPr>
        <w:rPr>
          <w:sz w:val="28"/>
          <w:szCs w:val="28"/>
        </w:rPr>
      </w:pPr>
    </w:p>
    <w:p w14:paraId="251FC354" w14:textId="77777777" w:rsidR="00CC5472" w:rsidRPr="003F1625" w:rsidRDefault="00CC5472">
      <w:pPr>
        <w:rPr>
          <w:sz w:val="28"/>
          <w:szCs w:val="28"/>
        </w:rPr>
      </w:pPr>
    </w:p>
    <w:p w14:paraId="4E954628" w14:textId="77777777" w:rsidR="00CC5472" w:rsidRPr="003F1625" w:rsidRDefault="00CC5472">
      <w:pPr>
        <w:rPr>
          <w:sz w:val="28"/>
          <w:szCs w:val="28"/>
        </w:rPr>
        <w:sectPr w:rsidR="00CC5472" w:rsidRPr="003F1625">
          <w:headerReference w:type="default" r:id="rId11"/>
          <w:footerReference w:type="default" r:id="rId12"/>
          <w:pgSz w:w="12240" w:h="15840" w:code="1"/>
          <w:pgMar w:top="1080" w:right="1440" w:bottom="1080" w:left="1800" w:header="547" w:footer="720" w:gutter="0"/>
          <w:pgNumType w:start="1"/>
          <w:cols w:space="720"/>
          <w:docGrid w:linePitch="360"/>
        </w:sectPr>
      </w:pPr>
    </w:p>
    <w:p w14:paraId="4FB141CD" w14:textId="77777777" w:rsidR="00CC5472" w:rsidRPr="003F1625" w:rsidRDefault="00CC5472">
      <w:pPr>
        <w:pStyle w:val="CenterHeading"/>
        <w:rPr>
          <w:sz w:val="28"/>
          <w:szCs w:val="28"/>
        </w:rPr>
      </w:pPr>
      <w:r w:rsidRPr="003F1625">
        <w:rPr>
          <w:sz w:val="28"/>
          <w:szCs w:val="28"/>
        </w:rPr>
        <w:lastRenderedPageBreak/>
        <w:t>INDEX OF EXCERPT OF RECORD</w:t>
      </w:r>
    </w:p>
    <w:p w14:paraId="5E362412" w14:textId="77777777" w:rsidR="00CC5472" w:rsidRPr="003F1625" w:rsidRDefault="00CC5472">
      <w:pPr>
        <w:pStyle w:val="BodyText2"/>
        <w:rPr>
          <w:sz w:val="28"/>
          <w:szCs w:val="28"/>
        </w:rPr>
      </w:pPr>
      <w:r w:rsidRPr="003F1625">
        <w:rPr>
          <w:sz w:val="28"/>
          <w:szCs w:val="28"/>
          <w:highlight w:val="yellow"/>
        </w:rPr>
        <w:t>CONTENTS are in chronological order, describing each item and identifying where the item may be found in the trial court or agency record, and page where the item may be found in the excerpt.  This is set up for trial court record.  Use alternate language for Agency Record</w:t>
      </w:r>
      <w:r w:rsidRPr="003F1625">
        <w:rPr>
          <w:sz w:val="28"/>
          <w:szCs w:val="28"/>
        </w:rPr>
        <w:t>.</w:t>
      </w:r>
    </w:p>
    <w:tbl>
      <w:tblPr>
        <w:tblW w:w="8978" w:type="dxa"/>
        <w:tblLayout w:type="fixed"/>
        <w:tblCellMar>
          <w:left w:w="288" w:type="dxa"/>
          <w:right w:w="115" w:type="dxa"/>
        </w:tblCellMar>
        <w:tblLook w:val="0000" w:firstRow="0" w:lastRow="0" w:firstColumn="0" w:lastColumn="0" w:noHBand="0" w:noVBand="0"/>
      </w:tblPr>
      <w:tblGrid>
        <w:gridCol w:w="1963"/>
        <w:gridCol w:w="5468"/>
        <w:gridCol w:w="1547"/>
      </w:tblGrid>
      <w:tr w:rsidR="00CC5472" w:rsidRPr="003F1625" w14:paraId="075BEDAA" w14:textId="77777777">
        <w:trPr>
          <w:cantSplit/>
          <w:tblHeader/>
        </w:trPr>
        <w:tc>
          <w:tcPr>
            <w:tcW w:w="1963" w:type="dxa"/>
            <w:noWrap/>
            <w:tcMar>
              <w:left w:w="0" w:type="dxa"/>
            </w:tcMar>
          </w:tcPr>
          <w:p w14:paraId="5E12B522" w14:textId="77777777" w:rsidR="00CC5472" w:rsidRPr="003F1625" w:rsidRDefault="00CC5472">
            <w:pPr>
              <w:pStyle w:val="BodyText2"/>
              <w:rPr>
                <w:sz w:val="28"/>
                <w:szCs w:val="28"/>
              </w:rPr>
            </w:pPr>
            <w:r w:rsidRPr="003F1625">
              <w:rPr>
                <w:sz w:val="28"/>
                <w:szCs w:val="28"/>
              </w:rPr>
              <w:t>Trial Court Register Document #</w:t>
            </w:r>
          </w:p>
        </w:tc>
        <w:tc>
          <w:tcPr>
            <w:tcW w:w="5468" w:type="dxa"/>
            <w:tcMar>
              <w:left w:w="115" w:type="dxa"/>
            </w:tcMar>
          </w:tcPr>
          <w:p w14:paraId="0EBBB717" w14:textId="77777777" w:rsidR="00CC5472" w:rsidRPr="003F1625" w:rsidRDefault="00CC5472">
            <w:pPr>
              <w:pStyle w:val="BodyText2"/>
              <w:rPr>
                <w:sz w:val="28"/>
                <w:szCs w:val="28"/>
              </w:rPr>
            </w:pPr>
            <w:r w:rsidRPr="003F1625">
              <w:rPr>
                <w:sz w:val="28"/>
                <w:szCs w:val="28"/>
              </w:rPr>
              <w:t>Item</w:t>
            </w:r>
          </w:p>
        </w:tc>
        <w:tc>
          <w:tcPr>
            <w:tcW w:w="1547" w:type="dxa"/>
            <w:tcMar>
              <w:left w:w="0" w:type="dxa"/>
            </w:tcMar>
          </w:tcPr>
          <w:p w14:paraId="526BA9BF" w14:textId="77777777" w:rsidR="00CC5472" w:rsidRPr="003F1625" w:rsidRDefault="00CC5472">
            <w:pPr>
              <w:pStyle w:val="BodyText2"/>
              <w:jc w:val="right"/>
              <w:rPr>
                <w:sz w:val="28"/>
                <w:szCs w:val="28"/>
              </w:rPr>
            </w:pPr>
            <w:r w:rsidRPr="003F1625">
              <w:rPr>
                <w:sz w:val="28"/>
                <w:szCs w:val="28"/>
              </w:rPr>
              <w:t>ER Page</w:t>
            </w:r>
          </w:p>
        </w:tc>
      </w:tr>
      <w:tr w:rsidR="00CC5472" w:rsidRPr="003F1625" w14:paraId="426E3FEF" w14:textId="77777777">
        <w:trPr>
          <w:cantSplit/>
        </w:trPr>
        <w:tc>
          <w:tcPr>
            <w:tcW w:w="1963" w:type="dxa"/>
            <w:noWrap/>
            <w:tcMar>
              <w:left w:w="0" w:type="dxa"/>
            </w:tcMar>
          </w:tcPr>
          <w:p w14:paraId="6CB94E19" w14:textId="77777777" w:rsidR="00CC5472" w:rsidRPr="003F1625" w:rsidRDefault="00CC5472">
            <w:pPr>
              <w:pStyle w:val="BodyText2"/>
              <w:rPr>
                <w:sz w:val="28"/>
                <w:szCs w:val="28"/>
              </w:rPr>
            </w:pPr>
          </w:p>
        </w:tc>
        <w:tc>
          <w:tcPr>
            <w:tcW w:w="5468" w:type="dxa"/>
            <w:tcMar>
              <w:left w:w="115" w:type="dxa"/>
            </w:tcMar>
          </w:tcPr>
          <w:p w14:paraId="1BF60FE4" w14:textId="77777777" w:rsidR="00CC5472" w:rsidRPr="003F1625" w:rsidRDefault="00CC5472">
            <w:pPr>
              <w:pStyle w:val="BodyText2"/>
              <w:rPr>
                <w:sz w:val="28"/>
                <w:szCs w:val="28"/>
              </w:rPr>
            </w:pPr>
          </w:p>
        </w:tc>
        <w:tc>
          <w:tcPr>
            <w:tcW w:w="1547" w:type="dxa"/>
            <w:tcMar>
              <w:left w:w="0" w:type="dxa"/>
            </w:tcMar>
          </w:tcPr>
          <w:p w14:paraId="49CC6C94" w14:textId="77777777" w:rsidR="00CC5472" w:rsidRPr="003F1625" w:rsidRDefault="00CC5472">
            <w:pPr>
              <w:pStyle w:val="BodyText2"/>
              <w:jc w:val="right"/>
              <w:rPr>
                <w:sz w:val="28"/>
                <w:szCs w:val="28"/>
              </w:rPr>
            </w:pPr>
          </w:p>
        </w:tc>
      </w:tr>
    </w:tbl>
    <w:p w14:paraId="1A978952" w14:textId="77777777" w:rsidR="00CC5472" w:rsidRPr="003F1625" w:rsidRDefault="00CC5472">
      <w:pPr>
        <w:rPr>
          <w:sz w:val="28"/>
          <w:szCs w:val="28"/>
        </w:rPr>
      </w:pPr>
    </w:p>
    <w:p w14:paraId="427BCBEE" w14:textId="77777777" w:rsidR="00CC5472" w:rsidRPr="003F1625" w:rsidRDefault="00CC5472">
      <w:pPr>
        <w:pStyle w:val="BodyText2"/>
        <w:rPr>
          <w:sz w:val="28"/>
          <w:szCs w:val="28"/>
        </w:rPr>
        <w:sectPr w:rsidR="00CC5472" w:rsidRPr="003F1625">
          <w:headerReference w:type="default" r:id="rId13"/>
          <w:footerReference w:type="default" r:id="rId14"/>
          <w:pgSz w:w="12240" w:h="15840" w:code="1"/>
          <w:pgMar w:top="1080" w:right="1440" w:bottom="1080" w:left="1800" w:header="547" w:footer="720" w:gutter="0"/>
          <w:pgNumType w:start="1"/>
          <w:cols w:space="720"/>
          <w:docGrid w:linePitch="360"/>
        </w:sectPr>
      </w:pPr>
    </w:p>
    <w:p w14:paraId="224B4BB2" w14:textId="77777777" w:rsidR="00CC5472" w:rsidRPr="003F1625" w:rsidRDefault="00CC5472" w:rsidP="007F16EB">
      <w:pPr>
        <w:pStyle w:val="BodyText"/>
      </w:pPr>
      <w:r w:rsidRPr="003F1625">
        <w:rPr>
          <w:highlight w:val="yellow"/>
        </w:rPr>
        <w:lastRenderedPageBreak/>
        <w:t>THIS PAGE SECTIONED OFF FOR PAGE NUMBERING REFERENCE ONLY</w:t>
      </w:r>
    </w:p>
    <w:p w14:paraId="3DA3A429" w14:textId="77777777" w:rsidR="00CC5472" w:rsidRPr="003F1625" w:rsidRDefault="00CC5472">
      <w:pPr>
        <w:rPr>
          <w:sz w:val="28"/>
          <w:szCs w:val="28"/>
        </w:rPr>
      </w:pPr>
    </w:p>
    <w:p w14:paraId="49DD9116" w14:textId="77777777" w:rsidR="00CC5472" w:rsidRPr="003F1625" w:rsidRDefault="00CC5472">
      <w:pPr>
        <w:rPr>
          <w:sz w:val="28"/>
          <w:szCs w:val="28"/>
        </w:rPr>
        <w:sectPr w:rsidR="00CC5472" w:rsidRPr="003F1625">
          <w:headerReference w:type="default" r:id="rId15"/>
          <w:footerReference w:type="default" r:id="rId16"/>
          <w:pgSz w:w="12240" w:h="15840" w:code="1"/>
          <w:pgMar w:top="1080" w:right="1440" w:bottom="1080" w:left="1800" w:header="547" w:footer="720" w:gutter="0"/>
          <w:pgNumType w:start="1"/>
          <w:cols w:space="720"/>
          <w:docGrid w:linePitch="360"/>
        </w:sectPr>
      </w:pPr>
    </w:p>
    <w:p w14:paraId="5413CAD0" w14:textId="77777777" w:rsidR="00A53A9B" w:rsidRPr="003F1625" w:rsidRDefault="00A53A9B" w:rsidP="00A53A9B">
      <w:pPr>
        <w:autoSpaceDE w:val="0"/>
        <w:autoSpaceDN w:val="0"/>
        <w:adjustRightInd w:val="0"/>
        <w:jc w:val="center"/>
        <w:rPr>
          <w:b/>
          <w:bCs/>
          <w:sz w:val="28"/>
          <w:szCs w:val="28"/>
        </w:rPr>
      </w:pPr>
      <w:r w:rsidRPr="003F1625">
        <w:rPr>
          <w:b/>
          <w:bCs/>
          <w:sz w:val="28"/>
          <w:szCs w:val="28"/>
        </w:rPr>
        <w:lastRenderedPageBreak/>
        <w:t>CERTIFICATION OF COMPLIANCE</w:t>
      </w:r>
    </w:p>
    <w:p w14:paraId="165874E4" w14:textId="77777777" w:rsidR="00A53A9B" w:rsidRPr="003F1625" w:rsidRDefault="00A53A9B" w:rsidP="00A53A9B">
      <w:pPr>
        <w:autoSpaceDE w:val="0"/>
        <w:autoSpaceDN w:val="0"/>
        <w:adjustRightInd w:val="0"/>
        <w:jc w:val="center"/>
        <w:rPr>
          <w:b/>
          <w:bCs/>
          <w:sz w:val="28"/>
          <w:szCs w:val="28"/>
        </w:rPr>
      </w:pPr>
      <w:r w:rsidRPr="003F1625">
        <w:rPr>
          <w:b/>
          <w:bCs/>
          <w:sz w:val="28"/>
          <w:szCs w:val="28"/>
        </w:rPr>
        <w:t>WITH BRIEF LENGTH AND TYPE SIZE REQUIREMENTS</w:t>
      </w:r>
    </w:p>
    <w:p w14:paraId="5A8914CF" w14:textId="77777777" w:rsidR="00061F11" w:rsidRPr="003F1625" w:rsidRDefault="00061F11" w:rsidP="00A53A9B">
      <w:pPr>
        <w:autoSpaceDE w:val="0"/>
        <w:autoSpaceDN w:val="0"/>
        <w:adjustRightInd w:val="0"/>
        <w:jc w:val="center"/>
        <w:rPr>
          <w:b/>
          <w:bCs/>
          <w:sz w:val="28"/>
          <w:szCs w:val="28"/>
        </w:rPr>
      </w:pPr>
    </w:p>
    <w:p w14:paraId="57F03C10" w14:textId="77777777" w:rsidR="00A53A9B" w:rsidRPr="003F1625" w:rsidRDefault="00A53A9B" w:rsidP="00061F11">
      <w:pPr>
        <w:autoSpaceDE w:val="0"/>
        <w:autoSpaceDN w:val="0"/>
        <w:adjustRightInd w:val="0"/>
        <w:spacing w:line="480" w:lineRule="auto"/>
        <w:rPr>
          <w:sz w:val="28"/>
          <w:szCs w:val="28"/>
          <w:u w:val="single"/>
        </w:rPr>
      </w:pPr>
      <w:r w:rsidRPr="003F1625">
        <w:rPr>
          <w:sz w:val="28"/>
          <w:szCs w:val="28"/>
          <w:u w:val="single"/>
        </w:rPr>
        <w:t>Brief length</w:t>
      </w:r>
    </w:p>
    <w:p w14:paraId="61929935" w14:textId="13B2A585" w:rsidR="00A53A9B" w:rsidRPr="003F1625" w:rsidRDefault="00A53A9B" w:rsidP="001A205C">
      <w:pPr>
        <w:autoSpaceDE w:val="0"/>
        <w:autoSpaceDN w:val="0"/>
        <w:adjustRightInd w:val="0"/>
        <w:spacing w:line="480" w:lineRule="auto"/>
        <w:ind w:firstLine="720"/>
        <w:rPr>
          <w:sz w:val="28"/>
          <w:szCs w:val="28"/>
        </w:rPr>
      </w:pPr>
      <w:r w:rsidRPr="003F1625">
        <w:rPr>
          <w:sz w:val="28"/>
          <w:szCs w:val="28"/>
        </w:rPr>
        <w:t>I certify that (1) this brief complies with the word-count limitation in</w:t>
      </w:r>
      <w:r w:rsidR="001627E6">
        <w:rPr>
          <w:sz w:val="28"/>
          <w:szCs w:val="28"/>
        </w:rPr>
        <w:t xml:space="preserve"> </w:t>
      </w:r>
      <w:proofErr w:type="spellStart"/>
      <w:r w:rsidRPr="00353D25">
        <w:rPr>
          <w:sz w:val="28"/>
          <w:szCs w:val="28"/>
        </w:rPr>
        <w:t>ORAP</w:t>
      </w:r>
      <w:proofErr w:type="spellEnd"/>
      <w:r w:rsidRPr="00353D25">
        <w:rPr>
          <w:sz w:val="28"/>
          <w:szCs w:val="28"/>
        </w:rPr>
        <w:t xml:space="preserve"> 5.05(</w:t>
      </w:r>
      <w:r w:rsidR="00573198" w:rsidRPr="00353D25">
        <w:rPr>
          <w:sz w:val="28"/>
          <w:szCs w:val="28"/>
        </w:rPr>
        <w:t>1)(b)(ii)(A)</w:t>
      </w:r>
      <w:r w:rsidRPr="003F1625">
        <w:rPr>
          <w:sz w:val="28"/>
          <w:szCs w:val="28"/>
        </w:rPr>
        <w:t xml:space="preserve"> </w:t>
      </w:r>
      <w:r w:rsidR="00573198">
        <w:rPr>
          <w:sz w:val="28"/>
          <w:szCs w:val="28"/>
        </w:rPr>
        <w:t xml:space="preserve">to the extent applicable under </w:t>
      </w:r>
      <w:proofErr w:type="spellStart"/>
      <w:r w:rsidR="00573198">
        <w:rPr>
          <w:sz w:val="28"/>
          <w:szCs w:val="28"/>
        </w:rPr>
        <w:t>ORAP</w:t>
      </w:r>
      <w:proofErr w:type="spellEnd"/>
      <w:r w:rsidR="00573198">
        <w:rPr>
          <w:sz w:val="28"/>
          <w:szCs w:val="28"/>
        </w:rPr>
        <w:t xml:space="preserve"> 8.15(3)(c) </w:t>
      </w:r>
      <w:r w:rsidRPr="003F1625">
        <w:rPr>
          <w:sz w:val="28"/>
          <w:szCs w:val="28"/>
        </w:rPr>
        <w:t xml:space="preserve">and </w:t>
      </w:r>
      <w:r w:rsidR="001627E6">
        <w:rPr>
          <w:sz w:val="28"/>
          <w:szCs w:val="28"/>
        </w:rPr>
        <w:t>(</w:t>
      </w:r>
      <w:r w:rsidRPr="003F1625">
        <w:rPr>
          <w:sz w:val="28"/>
          <w:szCs w:val="28"/>
        </w:rPr>
        <w:t>2)</w:t>
      </w:r>
      <w:r w:rsidR="00D31DF0">
        <w:rPr>
          <w:sz w:val="28"/>
          <w:szCs w:val="28"/>
        </w:rPr>
        <w:t> </w:t>
      </w:r>
      <w:r w:rsidRPr="003F1625">
        <w:rPr>
          <w:sz w:val="28"/>
          <w:szCs w:val="28"/>
        </w:rPr>
        <w:t xml:space="preserve">the word count of this brief (as described in </w:t>
      </w:r>
      <w:proofErr w:type="spellStart"/>
      <w:r w:rsidRPr="00353D25">
        <w:rPr>
          <w:sz w:val="28"/>
          <w:szCs w:val="28"/>
        </w:rPr>
        <w:t>ORAP</w:t>
      </w:r>
      <w:proofErr w:type="spellEnd"/>
      <w:r w:rsidR="00573198" w:rsidRPr="00353D25">
        <w:rPr>
          <w:sz w:val="28"/>
          <w:szCs w:val="28"/>
        </w:rPr>
        <w:t xml:space="preserve"> 5.05(1)(a))</w:t>
      </w:r>
      <w:r w:rsidR="005065B9">
        <w:rPr>
          <w:sz w:val="28"/>
          <w:szCs w:val="28"/>
        </w:rPr>
        <w:t xml:space="preserve"> </w:t>
      </w:r>
      <w:r w:rsidRPr="003F1625">
        <w:rPr>
          <w:sz w:val="28"/>
          <w:szCs w:val="28"/>
        </w:rPr>
        <w:t xml:space="preserve">is </w:t>
      </w:r>
      <w:r w:rsidR="0017554B">
        <w:rPr>
          <w:sz w:val="28"/>
          <w:szCs w:val="28"/>
        </w:rPr>
        <w:t>4,798</w:t>
      </w:r>
      <w:bookmarkStart w:id="16" w:name="_GoBack"/>
      <w:bookmarkEnd w:id="16"/>
      <w:r w:rsidRPr="003F1625">
        <w:rPr>
          <w:sz w:val="28"/>
          <w:szCs w:val="28"/>
        </w:rPr>
        <w:t xml:space="preserve"> words.</w:t>
      </w:r>
    </w:p>
    <w:p w14:paraId="500C5E85" w14:textId="77777777" w:rsidR="00A53A9B" w:rsidRPr="003F1625" w:rsidRDefault="00A53A9B" w:rsidP="00061F11">
      <w:pPr>
        <w:autoSpaceDE w:val="0"/>
        <w:autoSpaceDN w:val="0"/>
        <w:adjustRightInd w:val="0"/>
        <w:spacing w:line="480" w:lineRule="auto"/>
        <w:rPr>
          <w:sz w:val="28"/>
          <w:szCs w:val="28"/>
          <w:u w:val="single"/>
        </w:rPr>
      </w:pPr>
      <w:r w:rsidRPr="003F1625">
        <w:rPr>
          <w:sz w:val="28"/>
          <w:szCs w:val="28"/>
          <w:u w:val="single"/>
        </w:rPr>
        <w:t>Type size</w:t>
      </w:r>
    </w:p>
    <w:p w14:paraId="0592ED1C" w14:textId="3221CF2A" w:rsidR="00A53A9B" w:rsidRPr="003F1625" w:rsidRDefault="00A53A9B" w:rsidP="009C501E">
      <w:pPr>
        <w:autoSpaceDE w:val="0"/>
        <w:autoSpaceDN w:val="0"/>
        <w:adjustRightInd w:val="0"/>
        <w:spacing w:line="480" w:lineRule="auto"/>
        <w:ind w:firstLine="720"/>
        <w:rPr>
          <w:sz w:val="28"/>
          <w:szCs w:val="28"/>
        </w:rPr>
      </w:pPr>
      <w:r w:rsidRPr="003F1625">
        <w:rPr>
          <w:sz w:val="28"/>
          <w:szCs w:val="28"/>
        </w:rPr>
        <w:t>I certify that the size of the type in this brief is not smaller than 14 point</w:t>
      </w:r>
      <w:r w:rsidR="009C501E">
        <w:rPr>
          <w:sz w:val="28"/>
          <w:szCs w:val="28"/>
        </w:rPr>
        <w:t xml:space="preserve"> </w:t>
      </w:r>
      <w:r w:rsidRPr="003F1625">
        <w:rPr>
          <w:sz w:val="28"/>
          <w:szCs w:val="28"/>
        </w:rPr>
        <w:t xml:space="preserve">for both the text of the brief and footnotes as required by </w:t>
      </w:r>
      <w:proofErr w:type="spellStart"/>
      <w:r w:rsidRPr="003F1625">
        <w:rPr>
          <w:sz w:val="28"/>
          <w:szCs w:val="28"/>
        </w:rPr>
        <w:t>ORAP</w:t>
      </w:r>
      <w:proofErr w:type="spellEnd"/>
      <w:r w:rsidRPr="003F1625">
        <w:rPr>
          <w:sz w:val="28"/>
          <w:szCs w:val="28"/>
        </w:rPr>
        <w:t xml:space="preserve"> 5.05(</w:t>
      </w:r>
      <w:r w:rsidR="00CF5C3C">
        <w:rPr>
          <w:sz w:val="28"/>
          <w:szCs w:val="28"/>
        </w:rPr>
        <w:t>3)(b)(ii</w:t>
      </w:r>
      <w:r w:rsidRPr="003F1625">
        <w:rPr>
          <w:sz w:val="28"/>
          <w:szCs w:val="28"/>
        </w:rPr>
        <w:t>).</w:t>
      </w:r>
    </w:p>
    <w:p w14:paraId="709F0803" w14:textId="77777777" w:rsidR="00A53A9B" w:rsidRPr="003F1625" w:rsidRDefault="00A53A9B" w:rsidP="009C501E">
      <w:pPr>
        <w:pStyle w:val="CenterHeading"/>
        <w:spacing w:before="0"/>
        <w:ind w:firstLine="720"/>
        <w:jc w:val="left"/>
        <w:rPr>
          <w:b w:val="0"/>
          <w:sz w:val="28"/>
          <w:szCs w:val="28"/>
        </w:rPr>
      </w:pPr>
      <w:r w:rsidRPr="003F1625">
        <w:rPr>
          <w:b w:val="0"/>
          <w:sz w:val="28"/>
          <w:szCs w:val="28"/>
        </w:rPr>
        <w:t xml:space="preserve">Dated this </w:t>
      </w:r>
      <w:r w:rsidR="009C501E">
        <w:rPr>
          <w:b w:val="0"/>
          <w:sz w:val="28"/>
          <w:szCs w:val="28"/>
        </w:rPr>
        <w:t>28th</w:t>
      </w:r>
      <w:r w:rsidR="005E3DD6" w:rsidRPr="003F1625">
        <w:rPr>
          <w:b w:val="0"/>
          <w:sz w:val="28"/>
          <w:szCs w:val="28"/>
        </w:rPr>
        <w:t xml:space="preserve"> </w:t>
      </w:r>
      <w:r w:rsidRPr="003F1625">
        <w:rPr>
          <w:b w:val="0"/>
          <w:sz w:val="28"/>
          <w:szCs w:val="28"/>
        </w:rPr>
        <w:t xml:space="preserve">day of </w:t>
      </w:r>
      <w:r w:rsidR="005E3DD6" w:rsidRPr="003F1625">
        <w:rPr>
          <w:b w:val="0"/>
          <w:sz w:val="28"/>
          <w:szCs w:val="28"/>
        </w:rPr>
        <w:t>July</w:t>
      </w:r>
      <w:r w:rsidRPr="003F1625">
        <w:rPr>
          <w:b w:val="0"/>
          <w:sz w:val="28"/>
          <w:szCs w:val="28"/>
        </w:rPr>
        <w:t>, 20</w:t>
      </w:r>
      <w:r w:rsidR="005E3DD6" w:rsidRPr="003F1625">
        <w:rPr>
          <w:b w:val="0"/>
          <w:sz w:val="28"/>
          <w:szCs w:val="28"/>
        </w:rPr>
        <w:t>2</w:t>
      </w:r>
      <w:r w:rsidRPr="003F1625">
        <w:rPr>
          <w:b w:val="0"/>
          <w:sz w:val="28"/>
          <w:szCs w:val="28"/>
        </w:rPr>
        <w:t>1.</w:t>
      </w:r>
    </w:p>
    <w:tbl>
      <w:tblPr>
        <w:tblW w:w="5148" w:type="dxa"/>
        <w:tblInd w:w="3864" w:type="dxa"/>
        <w:tblLayout w:type="fixed"/>
        <w:tblLook w:val="0000" w:firstRow="0" w:lastRow="0" w:firstColumn="0" w:lastColumn="0" w:noHBand="0" w:noVBand="0"/>
      </w:tblPr>
      <w:tblGrid>
        <w:gridCol w:w="5148"/>
      </w:tblGrid>
      <w:tr w:rsidR="005E3DD6" w:rsidRPr="003F1625" w14:paraId="38E6BF9E" w14:textId="77777777" w:rsidTr="00E32839">
        <w:trPr>
          <w:cantSplit/>
          <w:trHeight w:val="480"/>
        </w:trPr>
        <w:tc>
          <w:tcPr>
            <w:tcW w:w="5148" w:type="dxa"/>
            <w:tcBorders>
              <w:bottom w:val="nil"/>
            </w:tcBorders>
            <w:tcMar>
              <w:left w:w="0" w:type="dxa"/>
              <w:right w:w="0" w:type="dxa"/>
            </w:tcMar>
          </w:tcPr>
          <w:p w14:paraId="200347D0" w14:textId="77777777" w:rsidR="005E3DD6" w:rsidRPr="003F1625" w:rsidRDefault="005E3DD6" w:rsidP="00E32839">
            <w:pPr>
              <w:keepNext/>
              <w:keepLines/>
              <w:rPr>
                <w:sz w:val="28"/>
                <w:szCs w:val="28"/>
              </w:rPr>
            </w:pPr>
            <w:r w:rsidRPr="003F1625">
              <w:rPr>
                <w:sz w:val="28"/>
                <w:szCs w:val="28"/>
              </w:rPr>
              <w:t>KARNOPP PETERSEN LLP</w:t>
            </w:r>
          </w:p>
        </w:tc>
      </w:tr>
      <w:tr w:rsidR="005E3DD6" w:rsidRPr="003F1625" w14:paraId="6D26913C" w14:textId="77777777" w:rsidTr="00E32839">
        <w:trPr>
          <w:cantSplit/>
          <w:trHeight w:val="522"/>
        </w:trPr>
        <w:tc>
          <w:tcPr>
            <w:tcW w:w="5148" w:type="dxa"/>
            <w:tcMar>
              <w:left w:w="0" w:type="dxa"/>
              <w:right w:w="0" w:type="dxa"/>
            </w:tcMar>
          </w:tcPr>
          <w:p w14:paraId="0751EE10" w14:textId="77777777" w:rsidR="005E3DD6" w:rsidRPr="003F1625" w:rsidRDefault="005E3DD6" w:rsidP="00E32839">
            <w:pPr>
              <w:keepNext/>
              <w:keepLines/>
              <w:rPr>
                <w:sz w:val="28"/>
                <w:szCs w:val="28"/>
              </w:rPr>
            </w:pPr>
          </w:p>
        </w:tc>
      </w:tr>
      <w:tr w:rsidR="005E3DD6" w:rsidRPr="003F1625" w14:paraId="0E417123" w14:textId="77777777" w:rsidTr="00E32839">
        <w:trPr>
          <w:cantSplit/>
        </w:trPr>
        <w:tc>
          <w:tcPr>
            <w:tcW w:w="5148" w:type="dxa"/>
            <w:tcBorders>
              <w:bottom w:val="single" w:sz="4" w:space="0" w:color="auto"/>
            </w:tcBorders>
            <w:tcMar>
              <w:left w:w="0" w:type="dxa"/>
              <w:right w:w="0" w:type="dxa"/>
            </w:tcMar>
          </w:tcPr>
          <w:p w14:paraId="7B9E9830" w14:textId="60F2A20E" w:rsidR="005E3DD6" w:rsidRPr="005065B9" w:rsidRDefault="005065B9" w:rsidP="00E32839">
            <w:pPr>
              <w:pStyle w:val="Signature"/>
              <w:keepLines/>
              <w:ind w:left="0"/>
              <w:rPr>
                <w:i/>
                <w:sz w:val="28"/>
                <w:szCs w:val="28"/>
              </w:rPr>
            </w:pPr>
            <w:r>
              <w:rPr>
                <w:i/>
                <w:sz w:val="28"/>
                <w:szCs w:val="28"/>
              </w:rPr>
              <w:t>s/ Ellen H. Grover</w:t>
            </w:r>
          </w:p>
        </w:tc>
      </w:tr>
      <w:tr w:rsidR="005E3DD6" w:rsidRPr="003F1625" w14:paraId="6B0ECF93" w14:textId="77777777" w:rsidTr="00E32839">
        <w:trPr>
          <w:cantSplit/>
        </w:trPr>
        <w:tc>
          <w:tcPr>
            <w:tcW w:w="5148" w:type="dxa"/>
            <w:tcBorders>
              <w:top w:val="single" w:sz="4" w:space="0" w:color="auto"/>
            </w:tcBorders>
            <w:tcMar>
              <w:left w:w="0" w:type="dxa"/>
              <w:right w:w="0" w:type="dxa"/>
            </w:tcMar>
          </w:tcPr>
          <w:p w14:paraId="7F9DFD64" w14:textId="77777777" w:rsidR="005E3DD6" w:rsidRPr="003F1625" w:rsidRDefault="005E3DD6" w:rsidP="00E32839">
            <w:pPr>
              <w:keepNext/>
              <w:keepLines/>
              <w:rPr>
                <w:sz w:val="28"/>
                <w:szCs w:val="28"/>
              </w:rPr>
            </w:pPr>
            <w:r w:rsidRPr="003F1625">
              <w:rPr>
                <w:sz w:val="28"/>
                <w:szCs w:val="28"/>
              </w:rPr>
              <w:t xml:space="preserve">Ellen H. Grover, </w:t>
            </w:r>
            <w:proofErr w:type="spellStart"/>
            <w:r w:rsidRPr="003F1625">
              <w:rPr>
                <w:sz w:val="28"/>
                <w:szCs w:val="28"/>
              </w:rPr>
              <w:t>OSB</w:t>
            </w:r>
            <w:proofErr w:type="spellEnd"/>
            <w:r w:rsidRPr="003F1625">
              <w:rPr>
                <w:sz w:val="28"/>
                <w:szCs w:val="28"/>
              </w:rPr>
              <w:t xml:space="preserve"> #991978</w:t>
            </w:r>
          </w:p>
        </w:tc>
      </w:tr>
      <w:tr w:rsidR="009214D8" w:rsidRPr="003F1625" w14:paraId="15E2BA83" w14:textId="77777777" w:rsidTr="00E32839">
        <w:trPr>
          <w:cantSplit/>
        </w:trPr>
        <w:tc>
          <w:tcPr>
            <w:tcW w:w="5148" w:type="dxa"/>
            <w:tcMar>
              <w:left w:w="0" w:type="dxa"/>
              <w:right w:w="0" w:type="dxa"/>
            </w:tcMar>
          </w:tcPr>
          <w:p w14:paraId="323E2A1F" w14:textId="77777777" w:rsidR="009214D8" w:rsidRPr="003F1625" w:rsidRDefault="009214D8" w:rsidP="009214D8">
            <w:pPr>
              <w:keepNext/>
              <w:keepLines/>
              <w:rPr>
                <w:sz w:val="28"/>
                <w:szCs w:val="28"/>
              </w:rPr>
            </w:pPr>
            <w:r>
              <w:rPr>
                <w:sz w:val="28"/>
                <w:szCs w:val="28"/>
              </w:rPr>
              <w:t>Megan K. Beshai</w:t>
            </w:r>
            <w:r w:rsidRPr="003F1625">
              <w:rPr>
                <w:sz w:val="28"/>
                <w:szCs w:val="28"/>
              </w:rPr>
              <w:t xml:space="preserve">, </w:t>
            </w:r>
            <w:proofErr w:type="spellStart"/>
            <w:r w:rsidRPr="003F1625">
              <w:rPr>
                <w:sz w:val="28"/>
                <w:szCs w:val="28"/>
              </w:rPr>
              <w:t>OSB</w:t>
            </w:r>
            <w:proofErr w:type="spellEnd"/>
            <w:r w:rsidRPr="003F1625">
              <w:rPr>
                <w:sz w:val="28"/>
                <w:szCs w:val="28"/>
              </w:rPr>
              <w:t xml:space="preserve"> #</w:t>
            </w:r>
            <w:r>
              <w:rPr>
                <w:sz w:val="28"/>
                <w:szCs w:val="28"/>
              </w:rPr>
              <w:t>195564</w:t>
            </w:r>
          </w:p>
        </w:tc>
      </w:tr>
      <w:tr w:rsidR="009214D8" w:rsidRPr="003F1625" w14:paraId="131B6275" w14:textId="77777777" w:rsidTr="00E32839">
        <w:trPr>
          <w:cantSplit/>
        </w:trPr>
        <w:tc>
          <w:tcPr>
            <w:tcW w:w="5148" w:type="dxa"/>
            <w:tcMar>
              <w:left w:w="0" w:type="dxa"/>
              <w:right w:w="0" w:type="dxa"/>
            </w:tcMar>
          </w:tcPr>
          <w:p w14:paraId="3619DF80" w14:textId="77777777" w:rsidR="009214D8" w:rsidRPr="003F1625" w:rsidRDefault="009214D8" w:rsidP="009214D8">
            <w:pPr>
              <w:keepNext/>
              <w:keepLines/>
              <w:rPr>
                <w:sz w:val="28"/>
                <w:szCs w:val="28"/>
              </w:rPr>
            </w:pPr>
            <w:r w:rsidRPr="003F1625">
              <w:rPr>
                <w:sz w:val="28"/>
                <w:szCs w:val="28"/>
              </w:rPr>
              <w:t>(541) 382-3011</w:t>
            </w:r>
          </w:p>
          <w:p w14:paraId="199FF5EA" w14:textId="77777777" w:rsidR="009214D8" w:rsidRPr="003F1625" w:rsidRDefault="009214D8" w:rsidP="009214D8">
            <w:pPr>
              <w:keepNext/>
              <w:keepLines/>
              <w:rPr>
                <w:sz w:val="28"/>
                <w:szCs w:val="28"/>
              </w:rPr>
            </w:pPr>
            <w:r w:rsidRPr="003F1625">
              <w:rPr>
                <w:sz w:val="28"/>
                <w:szCs w:val="28"/>
              </w:rPr>
              <w:t>360 SW Bond Street, Suite 400</w:t>
            </w:r>
          </w:p>
          <w:p w14:paraId="28A9BF44" w14:textId="77777777" w:rsidR="009214D8" w:rsidRPr="003F1625" w:rsidRDefault="009214D8" w:rsidP="009214D8">
            <w:pPr>
              <w:keepNext/>
              <w:keepLines/>
              <w:rPr>
                <w:sz w:val="28"/>
                <w:szCs w:val="28"/>
              </w:rPr>
            </w:pPr>
            <w:r w:rsidRPr="003F1625">
              <w:rPr>
                <w:sz w:val="28"/>
                <w:szCs w:val="28"/>
              </w:rPr>
              <w:t>Bend, Oregon 97702</w:t>
            </w:r>
          </w:p>
        </w:tc>
      </w:tr>
      <w:tr w:rsidR="009214D8" w:rsidRPr="003F1625" w14:paraId="473CF631" w14:textId="77777777" w:rsidTr="00E32839">
        <w:trPr>
          <w:cantSplit/>
        </w:trPr>
        <w:tc>
          <w:tcPr>
            <w:tcW w:w="5148" w:type="dxa"/>
            <w:tcMar>
              <w:left w:w="0" w:type="dxa"/>
              <w:right w:w="0" w:type="dxa"/>
            </w:tcMar>
          </w:tcPr>
          <w:p w14:paraId="1C9CD250" w14:textId="77777777" w:rsidR="009214D8" w:rsidRPr="003F1625" w:rsidRDefault="009214D8" w:rsidP="009214D8">
            <w:pPr>
              <w:pStyle w:val="Signature"/>
              <w:keepLines/>
              <w:ind w:left="0"/>
              <w:rPr>
                <w:i/>
                <w:sz w:val="28"/>
                <w:szCs w:val="28"/>
              </w:rPr>
            </w:pPr>
            <w:r w:rsidRPr="003F1625">
              <w:rPr>
                <w:i/>
                <w:sz w:val="28"/>
                <w:szCs w:val="28"/>
              </w:rPr>
              <w:t>Of Attorneys for Amicus Curiae</w:t>
            </w:r>
          </w:p>
        </w:tc>
      </w:tr>
    </w:tbl>
    <w:p w14:paraId="08BD994F" w14:textId="77777777" w:rsidR="00061F11" w:rsidRPr="003F1625" w:rsidRDefault="00061F11" w:rsidP="00061F11">
      <w:pPr>
        <w:pStyle w:val="CenterHeading"/>
        <w:jc w:val="left"/>
        <w:rPr>
          <w:b w:val="0"/>
          <w:sz w:val="28"/>
          <w:szCs w:val="28"/>
        </w:rPr>
        <w:sectPr w:rsidR="00061F11" w:rsidRPr="003F1625">
          <w:headerReference w:type="default" r:id="rId17"/>
          <w:footerReference w:type="default" r:id="rId18"/>
          <w:pgSz w:w="12240" w:h="15840" w:code="1"/>
          <w:pgMar w:top="1080" w:right="1440" w:bottom="1080" w:left="1800" w:header="547" w:footer="720" w:gutter="0"/>
          <w:pgNumType w:start="1"/>
          <w:cols w:space="720"/>
          <w:docGrid w:linePitch="360"/>
        </w:sectPr>
      </w:pPr>
    </w:p>
    <w:p w14:paraId="6CAF2791" w14:textId="77777777" w:rsidR="00CC5472" w:rsidRPr="003F1625" w:rsidRDefault="00CC5472">
      <w:pPr>
        <w:pStyle w:val="CenterHeading"/>
        <w:rPr>
          <w:sz w:val="28"/>
          <w:szCs w:val="28"/>
        </w:rPr>
      </w:pPr>
      <w:r w:rsidRPr="003F1625">
        <w:rPr>
          <w:sz w:val="28"/>
          <w:szCs w:val="28"/>
        </w:rPr>
        <w:lastRenderedPageBreak/>
        <w:t>CERTIFICATE OF FILING</w:t>
      </w:r>
      <w:r w:rsidR="00860FF6">
        <w:rPr>
          <w:sz w:val="28"/>
          <w:szCs w:val="28"/>
        </w:rPr>
        <w:t xml:space="preserve"> AND SERVICE</w:t>
      </w:r>
    </w:p>
    <w:p w14:paraId="168DC48A" w14:textId="77777777" w:rsidR="008123B8" w:rsidRDefault="008123B8" w:rsidP="00541F67">
      <w:pPr>
        <w:pStyle w:val="BodyText2"/>
        <w:spacing w:after="0" w:line="480" w:lineRule="auto"/>
        <w:ind w:firstLine="720"/>
        <w:rPr>
          <w:sz w:val="28"/>
          <w:szCs w:val="28"/>
        </w:rPr>
      </w:pPr>
    </w:p>
    <w:p w14:paraId="57B9941C" w14:textId="77777777" w:rsidR="00867791" w:rsidRDefault="00692F1A" w:rsidP="00541F67">
      <w:pPr>
        <w:pStyle w:val="BodyText2"/>
        <w:spacing w:after="0" w:line="480" w:lineRule="auto"/>
        <w:ind w:firstLine="720"/>
        <w:rPr>
          <w:sz w:val="28"/>
          <w:szCs w:val="28"/>
        </w:rPr>
      </w:pPr>
      <w:r>
        <w:rPr>
          <w:sz w:val="28"/>
          <w:szCs w:val="28"/>
        </w:rPr>
        <w:t xml:space="preserve">I </w:t>
      </w:r>
      <w:r w:rsidRPr="00692F1A">
        <w:rPr>
          <w:sz w:val="28"/>
          <w:szCs w:val="28"/>
        </w:rPr>
        <w:t xml:space="preserve">certify that I filed this </w:t>
      </w:r>
      <w:r w:rsidR="00587412" w:rsidRPr="00587412">
        <w:rPr>
          <w:sz w:val="28"/>
          <w:szCs w:val="28"/>
        </w:rPr>
        <w:t>BRIEF OF AMICUS CURIAE COMMUNITY RENEWABLE ENERGY ASSOCIATION IN SUPPORT OF PETITIONER WEST PRINEVILLE SOLAR FARM LLC AND PETITIONER CROOK COUNTY</w:t>
      </w:r>
      <w:r w:rsidRPr="00692F1A">
        <w:rPr>
          <w:sz w:val="28"/>
          <w:szCs w:val="28"/>
        </w:rPr>
        <w:t xml:space="preserve"> with the Appellate Court Administrator </w:t>
      </w:r>
      <w:r w:rsidR="00E72B90">
        <w:rPr>
          <w:sz w:val="28"/>
          <w:szCs w:val="28"/>
        </w:rPr>
        <w:t xml:space="preserve">on this date </w:t>
      </w:r>
      <w:r w:rsidRPr="00692F1A">
        <w:rPr>
          <w:sz w:val="28"/>
          <w:szCs w:val="28"/>
        </w:rPr>
        <w:t xml:space="preserve">using the </w:t>
      </w:r>
      <w:r w:rsidR="00E72B90">
        <w:rPr>
          <w:sz w:val="28"/>
          <w:szCs w:val="28"/>
        </w:rPr>
        <w:t>a</w:t>
      </w:r>
      <w:r w:rsidRPr="00692F1A">
        <w:rPr>
          <w:sz w:val="28"/>
          <w:szCs w:val="28"/>
        </w:rPr>
        <w:t xml:space="preserve">ppellate </w:t>
      </w:r>
      <w:r w:rsidR="00E72B90">
        <w:rPr>
          <w:sz w:val="28"/>
          <w:szCs w:val="28"/>
        </w:rPr>
        <w:t>c</w:t>
      </w:r>
      <w:r w:rsidRPr="00692F1A">
        <w:rPr>
          <w:sz w:val="28"/>
          <w:szCs w:val="28"/>
        </w:rPr>
        <w:t>ourt</w:t>
      </w:r>
      <w:r w:rsidR="00867791">
        <w:rPr>
          <w:sz w:val="28"/>
          <w:szCs w:val="28"/>
        </w:rPr>
        <w:t xml:space="preserve"> </w:t>
      </w:r>
      <w:proofErr w:type="spellStart"/>
      <w:r w:rsidR="00E72B90">
        <w:rPr>
          <w:sz w:val="28"/>
          <w:szCs w:val="28"/>
        </w:rPr>
        <w:t>eF</w:t>
      </w:r>
      <w:r w:rsidRPr="00692F1A">
        <w:rPr>
          <w:sz w:val="28"/>
          <w:szCs w:val="28"/>
        </w:rPr>
        <w:t>iling</w:t>
      </w:r>
      <w:proofErr w:type="spellEnd"/>
      <w:r w:rsidRPr="00692F1A">
        <w:rPr>
          <w:sz w:val="28"/>
          <w:szCs w:val="28"/>
        </w:rPr>
        <w:t xml:space="preserve"> System.</w:t>
      </w:r>
      <w:r w:rsidR="00867791">
        <w:rPr>
          <w:sz w:val="28"/>
          <w:szCs w:val="28"/>
        </w:rPr>
        <w:t xml:space="preserve"> </w:t>
      </w:r>
    </w:p>
    <w:p w14:paraId="0573D5EF" w14:textId="77777777" w:rsidR="00CC5472" w:rsidRPr="003F1625" w:rsidRDefault="00692F1A" w:rsidP="00483CAA">
      <w:pPr>
        <w:pStyle w:val="BodyText2"/>
        <w:spacing w:after="0" w:line="480" w:lineRule="auto"/>
        <w:ind w:firstLine="720"/>
        <w:rPr>
          <w:sz w:val="28"/>
          <w:szCs w:val="28"/>
        </w:rPr>
      </w:pPr>
      <w:r w:rsidRPr="00692F1A">
        <w:rPr>
          <w:sz w:val="28"/>
          <w:szCs w:val="28"/>
        </w:rPr>
        <w:t>I cer</w:t>
      </w:r>
      <w:r w:rsidR="00D117A5">
        <w:rPr>
          <w:sz w:val="28"/>
          <w:szCs w:val="28"/>
        </w:rPr>
        <w:t xml:space="preserve">tify that </w:t>
      </w:r>
      <w:r w:rsidR="006B0F1B">
        <w:rPr>
          <w:sz w:val="28"/>
          <w:szCs w:val="28"/>
        </w:rPr>
        <w:t xml:space="preserve">service of </w:t>
      </w:r>
      <w:r w:rsidRPr="00692F1A">
        <w:rPr>
          <w:sz w:val="28"/>
          <w:szCs w:val="28"/>
        </w:rPr>
        <w:t xml:space="preserve">a copy of this </w:t>
      </w:r>
      <w:r w:rsidR="00587412" w:rsidRPr="00587412">
        <w:rPr>
          <w:sz w:val="28"/>
          <w:szCs w:val="28"/>
        </w:rPr>
        <w:t>BRIEF OF AMICUS CURIAE COMMUNITY RENEWABLE ENERGY ASSOCIATION IN SUPPORT OF PETITIONER WEST PRINEVILLE SOLAR FARM LLC AND PETITIONER CROOK COUNTY</w:t>
      </w:r>
      <w:r w:rsidR="00984E09" w:rsidRPr="00692F1A">
        <w:rPr>
          <w:sz w:val="28"/>
          <w:szCs w:val="28"/>
        </w:rPr>
        <w:t xml:space="preserve"> </w:t>
      </w:r>
      <w:r w:rsidR="006B0F1B" w:rsidRPr="006B0F1B">
        <w:rPr>
          <w:sz w:val="28"/>
          <w:szCs w:val="28"/>
        </w:rPr>
        <w:t xml:space="preserve">will be accomplished on the following participants in this case, who are registered users of the appellate courts’ </w:t>
      </w:r>
      <w:proofErr w:type="spellStart"/>
      <w:r w:rsidR="006B0F1B" w:rsidRPr="006B0F1B">
        <w:rPr>
          <w:sz w:val="28"/>
          <w:szCs w:val="28"/>
        </w:rPr>
        <w:t>eFiling</w:t>
      </w:r>
      <w:proofErr w:type="spellEnd"/>
      <w:r w:rsidR="006B0F1B" w:rsidRPr="006B0F1B">
        <w:rPr>
          <w:sz w:val="28"/>
          <w:szCs w:val="28"/>
        </w:rPr>
        <w:t xml:space="preserve"> system, by the appellate courts’ </w:t>
      </w:r>
      <w:proofErr w:type="spellStart"/>
      <w:r w:rsidR="006B0F1B" w:rsidRPr="006B0F1B">
        <w:rPr>
          <w:sz w:val="28"/>
          <w:szCs w:val="28"/>
        </w:rPr>
        <w:t>eFiling</w:t>
      </w:r>
      <w:proofErr w:type="spellEnd"/>
      <w:r w:rsidR="006B0F1B" w:rsidRPr="006B0F1B">
        <w:rPr>
          <w:sz w:val="28"/>
          <w:szCs w:val="28"/>
        </w:rPr>
        <w:t xml:space="preserve"> system at the participants’ email addresses as recorded this date in the appellate </w:t>
      </w:r>
      <w:proofErr w:type="spellStart"/>
      <w:r w:rsidR="006B0F1B" w:rsidRPr="006B0F1B">
        <w:rPr>
          <w:sz w:val="28"/>
          <w:szCs w:val="28"/>
        </w:rPr>
        <w:t>eFiling</w:t>
      </w:r>
      <w:proofErr w:type="spellEnd"/>
      <w:r w:rsidR="006B0F1B" w:rsidRPr="006B0F1B">
        <w:rPr>
          <w:sz w:val="28"/>
          <w:szCs w:val="28"/>
        </w:rPr>
        <w:t xml:space="preserve"> system:</w:t>
      </w:r>
    </w:p>
    <w:p w14:paraId="47E2EA8B" w14:textId="77777777" w:rsidR="00056F6D" w:rsidRDefault="00056F6D" w:rsidP="00056F6D">
      <w:pPr>
        <w:pStyle w:val="BodyTextLeft"/>
        <w:rPr>
          <w:sz w:val="28"/>
          <w:szCs w:val="28"/>
        </w:rPr>
        <w:sectPr w:rsidR="00056F6D">
          <w:pgSz w:w="12240" w:h="15840" w:code="1"/>
          <w:pgMar w:top="1080" w:right="1440" w:bottom="1080" w:left="1800" w:header="547" w:footer="720" w:gutter="0"/>
          <w:pgNumType w:start="1"/>
          <w:cols w:space="720"/>
          <w:docGrid w:linePitch="360"/>
        </w:sectPr>
      </w:pPr>
    </w:p>
    <w:p w14:paraId="674CC397" w14:textId="6789ADB4" w:rsidR="00056F6D" w:rsidRPr="003F1625" w:rsidRDefault="002C2BA3" w:rsidP="00056F6D">
      <w:pPr>
        <w:pStyle w:val="BodyTextLeft"/>
        <w:rPr>
          <w:sz w:val="28"/>
          <w:szCs w:val="28"/>
        </w:rPr>
      </w:pPr>
      <w:r>
        <w:rPr>
          <w:sz w:val="28"/>
          <w:szCs w:val="28"/>
        </w:rPr>
        <w:t xml:space="preserve">Merissa A. Moeller, </w:t>
      </w:r>
      <w:proofErr w:type="spellStart"/>
      <w:r>
        <w:rPr>
          <w:sz w:val="28"/>
          <w:szCs w:val="28"/>
        </w:rPr>
        <w:t>OSB</w:t>
      </w:r>
      <w:proofErr w:type="spellEnd"/>
      <w:r>
        <w:rPr>
          <w:sz w:val="28"/>
          <w:szCs w:val="28"/>
        </w:rPr>
        <w:t xml:space="preserve"> #153926</w:t>
      </w:r>
    </w:p>
    <w:p w14:paraId="06F863AE" w14:textId="77777777" w:rsidR="00056F6D" w:rsidRPr="003F1625" w:rsidRDefault="00056F6D" w:rsidP="00056F6D">
      <w:pPr>
        <w:pStyle w:val="BodyTextLeft"/>
        <w:rPr>
          <w:sz w:val="28"/>
          <w:szCs w:val="28"/>
        </w:rPr>
      </w:pPr>
      <w:r w:rsidRPr="003F1625">
        <w:rPr>
          <w:sz w:val="28"/>
          <w:szCs w:val="28"/>
        </w:rPr>
        <w:t xml:space="preserve">Max M. </w:t>
      </w:r>
      <w:proofErr w:type="spellStart"/>
      <w:r w:rsidRPr="003F1625">
        <w:rPr>
          <w:sz w:val="28"/>
          <w:szCs w:val="28"/>
        </w:rPr>
        <w:t>Yoklic</w:t>
      </w:r>
      <w:proofErr w:type="spellEnd"/>
      <w:r w:rsidRPr="003F1625">
        <w:rPr>
          <w:sz w:val="28"/>
          <w:szCs w:val="28"/>
        </w:rPr>
        <w:t xml:space="preserve">, </w:t>
      </w:r>
      <w:proofErr w:type="spellStart"/>
      <w:r w:rsidRPr="003F1625">
        <w:rPr>
          <w:sz w:val="28"/>
          <w:szCs w:val="28"/>
        </w:rPr>
        <w:t>OSB</w:t>
      </w:r>
      <w:proofErr w:type="spellEnd"/>
      <w:r w:rsidRPr="003F1625">
        <w:rPr>
          <w:sz w:val="28"/>
          <w:szCs w:val="28"/>
        </w:rPr>
        <w:t xml:space="preserve"> #194865</w:t>
      </w:r>
    </w:p>
    <w:p w14:paraId="0214CC4D" w14:textId="77777777" w:rsidR="00056F6D" w:rsidRPr="003F1625" w:rsidRDefault="00056F6D" w:rsidP="00056F6D">
      <w:pPr>
        <w:pStyle w:val="BodyTextLeft"/>
        <w:rPr>
          <w:sz w:val="28"/>
          <w:szCs w:val="28"/>
        </w:rPr>
      </w:pPr>
      <w:r w:rsidRPr="003F1625">
        <w:rPr>
          <w:sz w:val="28"/>
          <w:szCs w:val="28"/>
        </w:rPr>
        <w:t xml:space="preserve">Crystal S. Chase, </w:t>
      </w:r>
      <w:proofErr w:type="spellStart"/>
      <w:r w:rsidRPr="003F1625">
        <w:rPr>
          <w:sz w:val="28"/>
          <w:szCs w:val="28"/>
        </w:rPr>
        <w:t>OSB</w:t>
      </w:r>
      <w:proofErr w:type="spellEnd"/>
      <w:r w:rsidRPr="003F1625">
        <w:rPr>
          <w:sz w:val="28"/>
          <w:szCs w:val="28"/>
        </w:rPr>
        <w:t xml:space="preserve"> #093104</w:t>
      </w:r>
    </w:p>
    <w:p w14:paraId="72EE6163" w14:textId="77777777" w:rsidR="00056F6D" w:rsidRPr="003F1625" w:rsidRDefault="00056F6D" w:rsidP="00056F6D">
      <w:pPr>
        <w:pStyle w:val="BodyTextLeft"/>
        <w:rPr>
          <w:sz w:val="28"/>
          <w:szCs w:val="28"/>
        </w:rPr>
      </w:pPr>
      <w:r w:rsidRPr="003F1625">
        <w:rPr>
          <w:sz w:val="28"/>
          <w:szCs w:val="28"/>
        </w:rPr>
        <w:t xml:space="preserve">Timothy L. McMahan, </w:t>
      </w:r>
      <w:proofErr w:type="spellStart"/>
      <w:r w:rsidRPr="003F1625">
        <w:rPr>
          <w:sz w:val="28"/>
          <w:szCs w:val="28"/>
        </w:rPr>
        <w:t>OSB</w:t>
      </w:r>
      <w:proofErr w:type="spellEnd"/>
      <w:r w:rsidRPr="003F1625">
        <w:rPr>
          <w:sz w:val="28"/>
          <w:szCs w:val="28"/>
        </w:rPr>
        <w:t xml:space="preserve"> #984624</w:t>
      </w:r>
    </w:p>
    <w:p w14:paraId="3E1B14BE" w14:textId="77777777" w:rsidR="00056F6D" w:rsidRPr="003F1625" w:rsidRDefault="00056F6D" w:rsidP="00056F6D">
      <w:pPr>
        <w:pStyle w:val="BodyTextLeft"/>
        <w:rPr>
          <w:sz w:val="28"/>
          <w:szCs w:val="28"/>
        </w:rPr>
      </w:pPr>
      <w:proofErr w:type="spellStart"/>
      <w:r w:rsidRPr="003F1625">
        <w:rPr>
          <w:sz w:val="28"/>
          <w:szCs w:val="28"/>
        </w:rPr>
        <w:t>Stoel</w:t>
      </w:r>
      <w:proofErr w:type="spellEnd"/>
      <w:r w:rsidRPr="003F1625">
        <w:rPr>
          <w:sz w:val="28"/>
          <w:szCs w:val="28"/>
        </w:rPr>
        <w:t xml:space="preserve"> Rives, LLP</w:t>
      </w:r>
    </w:p>
    <w:p w14:paraId="2FF79EA8" w14:textId="77777777" w:rsidR="00056F6D" w:rsidRPr="003F1625" w:rsidRDefault="00056F6D" w:rsidP="00056F6D">
      <w:pPr>
        <w:pStyle w:val="BodyTextLeft"/>
        <w:rPr>
          <w:sz w:val="28"/>
          <w:szCs w:val="28"/>
        </w:rPr>
      </w:pPr>
      <w:r w:rsidRPr="003F1625">
        <w:rPr>
          <w:sz w:val="28"/>
          <w:szCs w:val="28"/>
        </w:rPr>
        <w:t>760 SW 9th Avenue, Suite 3000</w:t>
      </w:r>
    </w:p>
    <w:p w14:paraId="498E6082" w14:textId="77777777" w:rsidR="00056F6D" w:rsidRPr="003F1625" w:rsidRDefault="00056F6D" w:rsidP="00056F6D">
      <w:pPr>
        <w:pStyle w:val="BodyTextLeft"/>
        <w:rPr>
          <w:sz w:val="28"/>
          <w:szCs w:val="28"/>
        </w:rPr>
      </w:pPr>
      <w:r w:rsidRPr="003F1625">
        <w:rPr>
          <w:sz w:val="28"/>
          <w:szCs w:val="28"/>
        </w:rPr>
        <w:t>Portland, Oregon 97205</w:t>
      </w:r>
    </w:p>
    <w:p w14:paraId="76192E05" w14:textId="56154C7B" w:rsidR="00056F6D" w:rsidRPr="003F1625" w:rsidRDefault="00056F6D" w:rsidP="00056F6D">
      <w:pPr>
        <w:pStyle w:val="BodyTextLeft"/>
        <w:rPr>
          <w:i/>
          <w:sz w:val="28"/>
          <w:szCs w:val="28"/>
        </w:rPr>
      </w:pPr>
      <w:r w:rsidRPr="003F1625">
        <w:rPr>
          <w:i/>
          <w:sz w:val="28"/>
          <w:szCs w:val="28"/>
        </w:rPr>
        <w:t xml:space="preserve">Attorneys </w:t>
      </w:r>
      <w:r w:rsidR="001823F5">
        <w:rPr>
          <w:i/>
          <w:sz w:val="28"/>
          <w:szCs w:val="28"/>
        </w:rPr>
        <w:t>for</w:t>
      </w:r>
      <w:r w:rsidRPr="003F1625">
        <w:rPr>
          <w:i/>
          <w:sz w:val="28"/>
          <w:szCs w:val="28"/>
        </w:rPr>
        <w:t xml:space="preserve"> West Prineville Solar Farm, LLC</w:t>
      </w:r>
    </w:p>
    <w:p w14:paraId="3F076B01" w14:textId="77777777" w:rsidR="00056F6D" w:rsidRPr="00E6032B" w:rsidRDefault="00056F6D" w:rsidP="00056F6D"/>
    <w:p w14:paraId="1AA0E280" w14:textId="77777777" w:rsidR="00056F6D" w:rsidRPr="003F1625" w:rsidRDefault="008C008D" w:rsidP="00056F6D">
      <w:pPr>
        <w:pStyle w:val="BodyTextLeft"/>
        <w:rPr>
          <w:sz w:val="28"/>
          <w:szCs w:val="28"/>
        </w:rPr>
      </w:pPr>
      <w:r>
        <w:rPr>
          <w:sz w:val="28"/>
          <w:szCs w:val="28"/>
        </w:rPr>
        <w:br w:type="column"/>
      </w:r>
      <w:r w:rsidR="00056F6D" w:rsidRPr="003F1625">
        <w:rPr>
          <w:sz w:val="28"/>
          <w:szCs w:val="28"/>
        </w:rPr>
        <w:t xml:space="preserve">Peter O. Watts, </w:t>
      </w:r>
      <w:proofErr w:type="spellStart"/>
      <w:r w:rsidR="00056F6D" w:rsidRPr="003F1625">
        <w:rPr>
          <w:sz w:val="28"/>
          <w:szCs w:val="28"/>
        </w:rPr>
        <w:t>OSB</w:t>
      </w:r>
      <w:proofErr w:type="spellEnd"/>
      <w:r w:rsidR="00056F6D" w:rsidRPr="003F1625">
        <w:rPr>
          <w:sz w:val="28"/>
          <w:szCs w:val="28"/>
        </w:rPr>
        <w:t xml:space="preserve"> #025368</w:t>
      </w:r>
    </w:p>
    <w:p w14:paraId="291E19E0" w14:textId="77777777" w:rsidR="00056F6D" w:rsidRPr="003F1625" w:rsidRDefault="00056F6D" w:rsidP="00056F6D">
      <w:pPr>
        <w:pStyle w:val="BodyTextLeft"/>
        <w:rPr>
          <w:sz w:val="28"/>
          <w:szCs w:val="28"/>
        </w:rPr>
      </w:pPr>
      <w:r w:rsidRPr="003F1625">
        <w:rPr>
          <w:sz w:val="28"/>
          <w:szCs w:val="28"/>
        </w:rPr>
        <w:t>Peter O. Watts, PC</w:t>
      </w:r>
    </w:p>
    <w:p w14:paraId="02D363E5" w14:textId="77777777" w:rsidR="00873754" w:rsidRPr="003F1625" w:rsidRDefault="00873754" w:rsidP="00873754">
      <w:pPr>
        <w:pStyle w:val="BodyTextLeft"/>
        <w:rPr>
          <w:sz w:val="28"/>
          <w:szCs w:val="28"/>
        </w:rPr>
      </w:pPr>
      <w:r w:rsidRPr="003F1625">
        <w:rPr>
          <w:sz w:val="28"/>
          <w:szCs w:val="28"/>
        </w:rPr>
        <w:t>1980 Willamette Falls Dr., Suite 200</w:t>
      </w:r>
    </w:p>
    <w:p w14:paraId="02AC008B" w14:textId="77777777" w:rsidR="00873754" w:rsidRPr="00E6032B" w:rsidRDefault="00873754" w:rsidP="00873754">
      <w:pPr>
        <w:rPr>
          <w:sz w:val="28"/>
          <w:szCs w:val="28"/>
        </w:rPr>
      </w:pPr>
      <w:r w:rsidRPr="00E6032B">
        <w:rPr>
          <w:sz w:val="28"/>
          <w:szCs w:val="28"/>
        </w:rPr>
        <w:t>West Linn, Oregon 97068</w:t>
      </w:r>
    </w:p>
    <w:p w14:paraId="1B9D7864" w14:textId="77777777" w:rsidR="008C008D" w:rsidRDefault="008C008D" w:rsidP="00056F6D">
      <w:pPr>
        <w:pStyle w:val="BodyTextLeft"/>
        <w:rPr>
          <w:sz w:val="28"/>
          <w:szCs w:val="28"/>
        </w:rPr>
      </w:pPr>
    </w:p>
    <w:p w14:paraId="03205F08" w14:textId="77777777" w:rsidR="00056F6D" w:rsidRPr="003F1625" w:rsidRDefault="00056F6D" w:rsidP="00056F6D">
      <w:pPr>
        <w:pStyle w:val="BodyTextLeft"/>
        <w:rPr>
          <w:sz w:val="28"/>
          <w:szCs w:val="28"/>
        </w:rPr>
      </w:pPr>
      <w:r w:rsidRPr="003F1625">
        <w:rPr>
          <w:sz w:val="28"/>
          <w:szCs w:val="28"/>
        </w:rPr>
        <w:t xml:space="preserve">John R. </w:t>
      </w:r>
      <w:proofErr w:type="spellStart"/>
      <w:r w:rsidRPr="003F1625">
        <w:rPr>
          <w:sz w:val="28"/>
          <w:szCs w:val="28"/>
        </w:rPr>
        <w:t>Eisler</w:t>
      </w:r>
      <w:proofErr w:type="spellEnd"/>
      <w:r w:rsidRPr="003F1625">
        <w:rPr>
          <w:sz w:val="28"/>
          <w:szCs w:val="28"/>
        </w:rPr>
        <w:t xml:space="preserve">, </w:t>
      </w:r>
      <w:proofErr w:type="spellStart"/>
      <w:r w:rsidRPr="003F1625">
        <w:rPr>
          <w:sz w:val="28"/>
          <w:szCs w:val="28"/>
        </w:rPr>
        <w:t>OSB</w:t>
      </w:r>
      <w:proofErr w:type="spellEnd"/>
      <w:r w:rsidRPr="003F1625">
        <w:rPr>
          <w:sz w:val="28"/>
          <w:szCs w:val="28"/>
        </w:rPr>
        <w:t xml:space="preserve"> #184886</w:t>
      </w:r>
    </w:p>
    <w:p w14:paraId="0BEA656A" w14:textId="77777777" w:rsidR="00056F6D" w:rsidRPr="003F1625" w:rsidRDefault="00056F6D" w:rsidP="00056F6D">
      <w:pPr>
        <w:pStyle w:val="BodyTextLeft"/>
        <w:rPr>
          <w:sz w:val="28"/>
          <w:szCs w:val="28"/>
        </w:rPr>
      </w:pPr>
      <w:r w:rsidRPr="003F1625">
        <w:rPr>
          <w:sz w:val="28"/>
          <w:szCs w:val="28"/>
        </w:rPr>
        <w:t>Crook County Counsel's Office</w:t>
      </w:r>
    </w:p>
    <w:p w14:paraId="3A414D21" w14:textId="77777777" w:rsidR="00056F6D" w:rsidRPr="003F1625" w:rsidRDefault="00056F6D" w:rsidP="00056F6D">
      <w:pPr>
        <w:pStyle w:val="BodyTextLeft"/>
        <w:rPr>
          <w:sz w:val="28"/>
          <w:szCs w:val="28"/>
        </w:rPr>
      </w:pPr>
      <w:r w:rsidRPr="003F1625">
        <w:rPr>
          <w:sz w:val="28"/>
          <w:szCs w:val="28"/>
        </w:rPr>
        <w:t>300 NE 3</w:t>
      </w:r>
      <w:r w:rsidRPr="00353D25">
        <w:rPr>
          <w:sz w:val="28"/>
          <w:szCs w:val="28"/>
        </w:rPr>
        <w:t>rd</w:t>
      </w:r>
      <w:r w:rsidRPr="00D31DF0">
        <w:rPr>
          <w:sz w:val="28"/>
          <w:szCs w:val="28"/>
        </w:rPr>
        <w:t xml:space="preserve"> </w:t>
      </w:r>
      <w:r w:rsidRPr="003F1625">
        <w:rPr>
          <w:sz w:val="28"/>
          <w:szCs w:val="28"/>
        </w:rPr>
        <w:t>Street</w:t>
      </w:r>
    </w:p>
    <w:p w14:paraId="7638CF9B" w14:textId="77777777" w:rsidR="00056F6D" w:rsidRDefault="00056F6D" w:rsidP="00056F6D">
      <w:pPr>
        <w:pStyle w:val="BodyTextLeft"/>
        <w:rPr>
          <w:sz w:val="28"/>
          <w:szCs w:val="28"/>
        </w:rPr>
      </w:pPr>
      <w:r w:rsidRPr="003F1625">
        <w:rPr>
          <w:sz w:val="28"/>
          <w:szCs w:val="28"/>
        </w:rPr>
        <w:t>Prineville, Oregon 97754</w:t>
      </w:r>
    </w:p>
    <w:p w14:paraId="7C815C0D" w14:textId="0A23FCCE" w:rsidR="00056F6D" w:rsidRPr="003F1625" w:rsidRDefault="00056F6D" w:rsidP="00056F6D">
      <w:pPr>
        <w:pStyle w:val="BodyTextLeft"/>
        <w:rPr>
          <w:sz w:val="28"/>
          <w:szCs w:val="28"/>
        </w:rPr>
      </w:pPr>
      <w:r w:rsidRPr="003F1625">
        <w:rPr>
          <w:i/>
          <w:sz w:val="28"/>
          <w:szCs w:val="28"/>
        </w:rPr>
        <w:t>Attorneys for Crook County</w:t>
      </w:r>
    </w:p>
    <w:p w14:paraId="09B54A8C" w14:textId="77777777" w:rsidR="00873754" w:rsidRDefault="00873754" w:rsidP="00873754">
      <w:pPr>
        <w:pStyle w:val="BodyTextLeft"/>
        <w:rPr>
          <w:sz w:val="28"/>
          <w:szCs w:val="28"/>
        </w:rPr>
      </w:pPr>
    </w:p>
    <w:p w14:paraId="0AF99F06" w14:textId="77777777" w:rsidR="008C008D" w:rsidRDefault="008123B8" w:rsidP="00873754">
      <w:pPr>
        <w:pStyle w:val="BodyTextLeft"/>
        <w:rPr>
          <w:sz w:val="28"/>
          <w:szCs w:val="28"/>
        </w:rPr>
        <w:sectPr w:rsidR="008C008D" w:rsidSect="000440D1">
          <w:type w:val="continuous"/>
          <w:pgSz w:w="12240" w:h="15840" w:code="1"/>
          <w:pgMar w:top="1080" w:right="1440" w:bottom="1080" w:left="1800" w:header="547" w:footer="720" w:gutter="0"/>
          <w:pgNumType w:start="1"/>
          <w:cols w:num="2" w:space="180"/>
          <w:docGrid w:linePitch="360"/>
        </w:sectPr>
      </w:pPr>
      <w:r>
        <w:rPr>
          <w:sz w:val="28"/>
          <w:szCs w:val="28"/>
        </w:rPr>
        <w:br w:type="page"/>
      </w:r>
    </w:p>
    <w:p w14:paraId="25566B91" w14:textId="7AD1ECA8" w:rsidR="00873754" w:rsidRPr="003F1625" w:rsidRDefault="00D31DF0" w:rsidP="00873754">
      <w:pPr>
        <w:pStyle w:val="BodyTextLeft"/>
        <w:rPr>
          <w:sz w:val="28"/>
          <w:szCs w:val="28"/>
        </w:rPr>
      </w:pPr>
      <w:r>
        <w:rPr>
          <w:sz w:val="28"/>
          <w:szCs w:val="28"/>
        </w:rPr>
        <w:t xml:space="preserve">Denise G. </w:t>
      </w:r>
      <w:proofErr w:type="spellStart"/>
      <w:r>
        <w:rPr>
          <w:sz w:val="28"/>
          <w:szCs w:val="28"/>
        </w:rPr>
        <w:t>Fjordbeck</w:t>
      </w:r>
      <w:proofErr w:type="spellEnd"/>
      <w:r w:rsidR="00873754" w:rsidRPr="003F1625">
        <w:rPr>
          <w:sz w:val="28"/>
          <w:szCs w:val="28"/>
        </w:rPr>
        <w:t xml:space="preserve">, </w:t>
      </w:r>
      <w:proofErr w:type="spellStart"/>
      <w:r w:rsidR="00873754" w:rsidRPr="003F1625">
        <w:rPr>
          <w:sz w:val="28"/>
          <w:szCs w:val="28"/>
        </w:rPr>
        <w:t>OSB</w:t>
      </w:r>
      <w:proofErr w:type="spellEnd"/>
      <w:r w:rsidR="00873754" w:rsidRPr="003F1625">
        <w:rPr>
          <w:sz w:val="28"/>
          <w:szCs w:val="28"/>
        </w:rPr>
        <w:t xml:space="preserve"> #</w:t>
      </w:r>
      <w:r w:rsidR="001777CF">
        <w:rPr>
          <w:sz w:val="28"/>
          <w:szCs w:val="28"/>
        </w:rPr>
        <w:t>822578</w:t>
      </w:r>
    </w:p>
    <w:p w14:paraId="68997819" w14:textId="1FE45DA7" w:rsidR="002C2BA3" w:rsidRDefault="001777CF" w:rsidP="00873754">
      <w:pPr>
        <w:pStyle w:val="BodyTextLeft"/>
        <w:rPr>
          <w:sz w:val="28"/>
          <w:szCs w:val="28"/>
        </w:rPr>
      </w:pPr>
      <w:r>
        <w:rPr>
          <w:sz w:val="28"/>
          <w:szCs w:val="28"/>
        </w:rPr>
        <w:t>Attorney-in-Charge, Civil/Admin. Appeals</w:t>
      </w:r>
    </w:p>
    <w:p w14:paraId="7F6970F7" w14:textId="27D9C64E" w:rsidR="00873754" w:rsidRPr="003F1625" w:rsidRDefault="00873754" w:rsidP="00873754">
      <w:pPr>
        <w:pStyle w:val="BodyTextLeft"/>
        <w:rPr>
          <w:sz w:val="28"/>
          <w:szCs w:val="28"/>
        </w:rPr>
      </w:pPr>
      <w:r w:rsidRPr="003F1625">
        <w:rPr>
          <w:sz w:val="28"/>
          <w:szCs w:val="28"/>
        </w:rPr>
        <w:t>Oregon Department of Justice</w:t>
      </w:r>
    </w:p>
    <w:p w14:paraId="0B1FA507" w14:textId="77777777" w:rsidR="00873754" w:rsidRPr="003F1625" w:rsidRDefault="00873754" w:rsidP="00873754">
      <w:pPr>
        <w:pStyle w:val="BodyTextLeft"/>
        <w:rPr>
          <w:sz w:val="28"/>
          <w:szCs w:val="28"/>
        </w:rPr>
      </w:pPr>
      <w:r w:rsidRPr="003F1625">
        <w:rPr>
          <w:sz w:val="28"/>
          <w:szCs w:val="28"/>
        </w:rPr>
        <w:t>1162 Court Street NE</w:t>
      </w:r>
    </w:p>
    <w:p w14:paraId="580AA33B" w14:textId="77777777" w:rsidR="00873754" w:rsidRPr="003F1625" w:rsidRDefault="00873754" w:rsidP="00873754">
      <w:pPr>
        <w:pStyle w:val="BodyTextLeft"/>
        <w:rPr>
          <w:sz w:val="28"/>
          <w:szCs w:val="28"/>
        </w:rPr>
      </w:pPr>
      <w:r w:rsidRPr="003F1625">
        <w:rPr>
          <w:sz w:val="28"/>
          <w:szCs w:val="28"/>
        </w:rPr>
        <w:t>Salem, Oregon  97301</w:t>
      </w:r>
    </w:p>
    <w:p w14:paraId="2B24F649" w14:textId="77777777" w:rsidR="00873754" w:rsidRDefault="00873754" w:rsidP="00873754">
      <w:pPr>
        <w:rPr>
          <w:i/>
          <w:sz w:val="28"/>
          <w:szCs w:val="28"/>
        </w:rPr>
      </w:pPr>
      <w:r w:rsidRPr="00E6032B">
        <w:rPr>
          <w:i/>
          <w:sz w:val="28"/>
          <w:szCs w:val="28"/>
        </w:rPr>
        <w:t xml:space="preserve">Attorney for Oregon Department of </w:t>
      </w:r>
    </w:p>
    <w:p w14:paraId="44091EEB" w14:textId="77777777" w:rsidR="00873754" w:rsidRPr="00E6032B" w:rsidRDefault="00873754" w:rsidP="00873754">
      <w:r w:rsidRPr="00E6032B">
        <w:rPr>
          <w:i/>
          <w:sz w:val="28"/>
          <w:szCs w:val="28"/>
        </w:rPr>
        <w:t>Fish and Wildlife</w:t>
      </w:r>
    </w:p>
    <w:p w14:paraId="2CF3F364" w14:textId="77777777" w:rsidR="008C008D" w:rsidRDefault="008C008D" w:rsidP="00056F6D">
      <w:pPr>
        <w:pStyle w:val="BodyTextLeft"/>
        <w:rPr>
          <w:sz w:val="28"/>
          <w:szCs w:val="28"/>
        </w:rPr>
        <w:sectPr w:rsidR="008C008D" w:rsidSect="008C008D">
          <w:type w:val="continuous"/>
          <w:pgSz w:w="12240" w:h="15840" w:code="1"/>
          <w:pgMar w:top="1080" w:right="1440" w:bottom="1080" w:left="1800" w:header="547" w:footer="720" w:gutter="0"/>
          <w:pgNumType w:start="1"/>
          <w:cols w:space="180"/>
          <w:docGrid w:linePitch="360"/>
        </w:sectPr>
      </w:pPr>
    </w:p>
    <w:p w14:paraId="25CD0AE3" w14:textId="77777777" w:rsidR="00056F6D" w:rsidRPr="003F1625" w:rsidRDefault="00056F6D" w:rsidP="00056F6D">
      <w:pPr>
        <w:pStyle w:val="BodyTextLeft"/>
        <w:rPr>
          <w:sz w:val="28"/>
          <w:szCs w:val="28"/>
        </w:rPr>
      </w:pPr>
    </w:p>
    <w:p w14:paraId="46276BD9" w14:textId="77777777" w:rsidR="000440D1" w:rsidRDefault="000440D1" w:rsidP="00056F6D">
      <w:pPr>
        <w:pStyle w:val="BodyTextLeft"/>
        <w:rPr>
          <w:sz w:val="28"/>
          <w:szCs w:val="28"/>
        </w:rPr>
        <w:sectPr w:rsidR="000440D1" w:rsidSect="000440D1">
          <w:type w:val="continuous"/>
          <w:pgSz w:w="12240" w:h="15840" w:code="1"/>
          <w:pgMar w:top="1080" w:right="1440" w:bottom="1080" w:left="1800" w:header="547" w:footer="720" w:gutter="0"/>
          <w:pgNumType w:start="1"/>
          <w:cols w:num="2" w:space="180"/>
          <w:docGrid w:linePitch="360"/>
        </w:sectPr>
      </w:pPr>
    </w:p>
    <w:p w14:paraId="71614550" w14:textId="77777777" w:rsidR="008123B8" w:rsidRPr="00894AEC" w:rsidRDefault="008123B8" w:rsidP="008123B8">
      <w:pPr>
        <w:pStyle w:val="BodyText"/>
        <w:ind w:firstLine="0"/>
      </w:pPr>
      <w:r w:rsidRPr="00894AEC">
        <w:t>DATED</w:t>
      </w:r>
      <w:r>
        <w:t xml:space="preserve">:  </w:t>
      </w:r>
      <w:r w:rsidR="004C28B2">
        <w:t>July 28, 2021</w:t>
      </w:r>
      <w:r w:rsidRPr="00894AEC">
        <w:t>.</w:t>
      </w:r>
    </w:p>
    <w:tbl>
      <w:tblPr>
        <w:tblW w:w="5148" w:type="dxa"/>
        <w:tblInd w:w="3864" w:type="dxa"/>
        <w:tblLayout w:type="fixed"/>
        <w:tblLook w:val="0000" w:firstRow="0" w:lastRow="0" w:firstColumn="0" w:lastColumn="0" w:noHBand="0" w:noVBand="0"/>
      </w:tblPr>
      <w:tblGrid>
        <w:gridCol w:w="5148"/>
      </w:tblGrid>
      <w:tr w:rsidR="00CC5472" w:rsidRPr="003F1625" w14:paraId="3A6DC4A4" w14:textId="77777777">
        <w:trPr>
          <w:cantSplit/>
          <w:trHeight w:val="480"/>
        </w:trPr>
        <w:tc>
          <w:tcPr>
            <w:tcW w:w="5148" w:type="dxa"/>
            <w:tcBorders>
              <w:bottom w:val="nil"/>
            </w:tcBorders>
            <w:tcMar>
              <w:left w:w="0" w:type="dxa"/>
              <w:right w:w="0" w:type="dxa"/>
            </w:tcMar>
          </w:tcPr>
          <w:p w14:paraId="3BACF3F7" w14:textId="77777777" w:rsidR="00CC5472" w:rsidRDefault="00076FCD">
            <w:pPr>
              <w:keepNext/>
              <w:keepLines/>
              <w:rPr>
                <w:sz w:val="28"/>
                <w:szCs w:val="28"/>
              </w:rPr>
            </w:pPr>
            <w:r w:rsidRPr="003F1625">
              <w:rPr>
                <w:sz w:val="28"/>
                <w:szCs w:val="28"/>
              </w:rPr>
              <w:t>KARNOPP PETERSEN LLP</w:t>
            </w:r>
          </w:p>
          <w:p w14:paraId="751825C4" w14:textId="77777777" w:rsidR="008123B8" w:rsidRPr="003F1625" w:rsidRDefault="008123B8">
            <w:pPr>
              <w:keepNext/>
              <w:keepLines/>
              <w:rPr>
                <w:sz w:val="28"/>
                <w:szCs w:val="28"/>
              </w:rPr>
            </w:pPr>
          </w:p>
        </w:tc>
      </w:tr>
      <w:tr w:rsidR="00CC5472" w:rsidRPr="003F1625" w14:paraId="2D58C570" w14:textId="77777777">
        <w:trPr>
          <w:cantSplit/>
        </w:trPr>
        <w:tc>
          <w:tcPr>
            <w:tcW w:w="5148" w:type="dxa"/>
            <w:tcBorders>
              <w:bottom w:val="single" w:sz="4" w:space="0" w:color="auto"/>
            </w:tcBorders>
            <w:tcMar>
              <w:left w:w="0" w:type="dxa"/>
              <w:right w:w="0" w:type="dxa"/>
            </w:tcMar>
          </w:tcPr>
          <w:p w14:paraId="201DABE9" w14:textId="36C87F70" w:rsidR="00CC5472" w:rsidRPr="005065B9" w:rsidRDefault="005065B9">
            <w:pPr>
              <w:pStyle w:val="Signature"/>
              <w:keepLines/>
              <w:ind w:left="0"/>
              <w:rPr>
                <w:i/>
                <w:sz w:val="28"/>
                <w:szCs w:val="28"/>
              </w:rPr>
            </w:pPr>
            <w:r>
              <w:rPr>
                <w:i/>
                <w:sz w:val="28"/>
                <w:szCs w:val="28"/>
              </w:rPr>
              <w:t>s/ Ellen H. Grover</w:t>
            </w:r>
          </w:p>
        </w:tc>
      </w:tr>
      <w:tr w:rsidR="00CC5472" w:rsidRPr="003F1625" w14:paraId="79C9D713" w14:textId="77777777">
        <w:trPr>
          <w:cantSplit/>
        </w:trPr>
        <w:tc>
          <w:tcPr>
            <w:tcW w:w="5148" w:type="dxa"/>
            <w:tcBorders>
              <w:top w:val="single" w:sz="4" w:space="0" w:color="auto"/>
            </w:tcBorders>
            <w:tcMar>
              <w:left w:w="0" w:type="dxa"/>
              <w:right w:w="0" w:type="dxa"/>
            </w:tcMar>
          </w:tcPr>
          <w:p w14:paraId="419B3194" w14:textId="77777777" w:rsidR="00CC5472" w:rsidRPr="003F1625" w:rsidRDefault="00076FCD" w:rsidP="0081579B">
            <w:pPr>
              <w:keepNext/>
              <w:keepLines/>
              <w:rPr>
                <w:sz w:val="28"/>
                <w:szCs w:val="28"/>
              </w:rPr>
            </w:pPr>
            <w:r w:rsidRPr="003F1625">
              <w:rPr>
                <w:sz w:val="28"/>
                <w:szCs w:val="28"/>
              </w:rPr>
              <w:t>Ellen H. Grover</w:t>
            </w:r>
            <w:r w:rsidR="0081579B" w:rsidRPr="003F1625">
              <w:rPr>
                <w:sz w:val="28"/>
                <w:szCs w:val="28"/>
              </w:rPr>
              <w:t xml:space="preserve">, </w:t>
            </w:r>
            <w:proofErr w:type="spellStart"/>
            <w:r w:rsidR="0081579B" w:rsidRPr="003F1625">
              <w:rPr>
                <w:sz w:val="28"/>
                <w:szCs w:val="28"/>
              </w:rPr>
              <w:t>OSB</w:t>
            </w:r>
            <w:proofErr w:type="spellEnd"/>
            <w:r w:rsidR="0081579B" w:rsidRPr="003F1625">
              <w:rPr>
                <w:sz w:val="28"/>
                <w:szCs w:val="28"/>
              </w:rPr>
              <w:t xml:space="preserve"> #</w:t>
            </w:r>
            <w:r w:rsidRPr="003F1625">
              <w:rPr>
                <w:sz w:val="28"/>
                <w:szCs w:val="28"/>
              </w:rPr>
              <w:t>991978</w:t>
            </w:r>
          </w:p>
        </w:tc>
      </w:tr>
      <w:tr w:rsidR="00F90A27" w:rsidRPr="003F1625" w14:paraId="54FB900A" w14:textId="77777777">
        <w:trPr>
          <w:cantSplit/>
        </w:trPr>
        <w:tc>
          <w:tcPr>
            <w:tcW w:w="5148" w:type="dxa"/>
            <w:tcMar>
              <w:left w:w="0" w:type="dxa"/>
              <w:right w:w="0" w:type="dxa"/>
            </w:tcMar>
          </w:tcPr>
          <w:p w14:paraId="4F4CEBB6" w14:textId="77777777" w:rsidR="00F90A27" w:rsidRPr="003F1625" w:rsidRDefault="00A8079C" w:rsidP="00A8079C">
            <w:pPr>
              <w:keepNext/>
              <w:keepLines/>
              <w:rPr>
                <w:sz w:val="28"/>
                <w:szCs w:val="28"/>
              </w:rPr>
            </w:pPr>
            <w:r>
              <w:rPr>
                <w:sz w:val="28"/>
                <w:szCs w:val="28"/>
              </w:rPr>
              <w:t>Megan K. Beshai</w:t>
            </w:r>
            <w:r w:rsidR="0081579B" w:rsidRPr="003F1625">
              <w:rPr>
                <w:sz w:val="28"/>
                <w:szCs w:val="28"/>
              </w:rPr>
              <w:t xml:space="preserve">, </w:t>
            </w:r>
            <w:proofErr w:type="spellStart"/>
            <w:r w:rsidR="0081579B" w:rsidRPr="003F1625">
              <w:rPr>
                <w:sz w:val="28"/>
                <w:szCs w:val="28"/>
              </w:rPr>
              <w:t>OSB</w:t>
            </w:r>
            <w:proofErr w:type="spellEnd"/>
            <w:r w:rsidR="0081579B" w:rsidRPr="003F1625">
              <w:rPr>
                <w:sz w:val="28"/>
                <w:szCs w:val="28"/>
              </w:rPr>
              <w:t xml:space="preserve"> #</w:t>
            </w:r>
            <w:r w:rsidR="00D117A5">
              <w:rPr>
                <w:sz w:val="28"/>
                <w:szCs w:val="28"/>
              </w:rPr>
              <w:t>19</w:t>
            </w:r>
            <w:r>
              <w:rPr>
                <w:sz w:val="28"/>
                <w:szCs w:val="28"/>
              </w:rPr>
              <w:t>5564</w:t>
            </w:r>
          </w:p>
        </w:tc>
      </w:tr>
      <w:tr w:rsidR="00CC5472" w:rsidRPr="003F1625" w14:paraId="74876B4E" w14:textId="77777777">
        <w:trPr>
          <w:cantSplit/>
        </w:trPr>
        <w:tc>
          <w:tcPr>
            <w:tcW w:w="5148" w:type="dxa"/>
            <w:tcMar>
              <w:left w:w="0" w:type="dxa"/>
              <w:right w:w="0" w:type="dxa"/>
            </w:tcMar>
          </w:tcPr>
          <w:p w14:paraId="51D1B130" w14:textId="77777777" w:rsidR="00CC5472" w:rsidRPr="003F1625" w:rsidRDefault="00CC5472" w:rsidP="00076FCD">
            <w:pPr>
              <w:pStyle w:val="Signature"/>
              <w:keepLines/>
              <w:ind w:left="0"/>
              <w:rPr>
                <w:i/>
                <w:sz w:val="28"/>
                <w:szCs w:val="28"/>
              </w:rPr>
            </w:pPr>
            <w:r w:rsidRPr="003F1625">
              <w:rPr>
                <w:i/>
                <w:sz w:val="28"/>
                <w:szCs w:val="28"/>
              </w:rPr>
              <w:t xml:space="preserve">Of Attorneys for </w:t>
            </w:r>
            <w:r w:rsidR="0081579B" w:rsidRPr="003F1625">
              <w:rPr>
                <w:i/>
                <w:sz w:val="28"/>
                <w:szCs w:val="28"/>
              </w:rPr>
              <w:t>Amicus Curiae</w:t>
            </w:r>
          </w:p>
        </w:tc>
      </w:tr>
    </w:tbl>
    <w:p w14:paraId="0A2C8C9F" w14:textId="77777777" w:rsidR="00CC5472" w:rsidRPr="003F1625" w:rsidRDefault="00CC5472">
      <w:pPr>
        <w:pStyle w:val="BodyText2"/>
        <w:rPr>
          <w:sz w:val="28"/>
          <w:szCs w:val="28"/>
        </w:rPr>
      </w:pPr>
    </w:p>
    <w:sectPr w:rsidR="00CC5472" w:rsidRPr="003F1625" w:rsidSect="00056F6D">
      <w:type w:val="continuous"/>
      <w:pgSz w:w="12240" w:h="15840" w:code="1"/>
      <w:pgMar w:top="1080" w:right="1440" w:bottom="1080" w:left="1800" w:header="54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A751" w14:textId="77777777" w:rsidR="00A41E72" w:rsidRDefault="00A41E72">
      <w:r>
        <w:separator/>
      </w:r>
    </w:p>
  </w:endnote>
  <w:endnote w:type="continuationSeparator" w:id="0">
    <w:p w14:paraId="3042468E" w14:textId="77777777" w:rsidR="00A41E72" w:rsidRDefault="00A4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6D19" w14:textId="14397705" w:rsidR="00A41E72" w:rsidRDefault="00A41E72">
    <w:pPr>
      <w:pStyle w:val="Footer"/>
      <w:tabs>
        <w:tab w:val="right" w:pos="8880"/>
      </w:tabs>
    </w:pPr>
    <w:r>
      <w:tab/>
    </w:r>
    <w:r>
      <w:tab/>
    </w:r>
    <w:r>
      <w:fldChar w:fldCharType="begin"/>
    </w:r>
    <w:r>
      <w:instrText xml:space="preserve"> TIME \@ "MMMM yyyy" </w:instrText>
    </w:r>
    <w:r>
      <w:fldChar w:fldCharType="separate"/>
    </w:r>
    <w:r w:rsidR="00293B5B">
      <w:rPr>
        <w:noProof/>
      </w:rPr>
      <w:t>July 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BBCA" w14:textId="52487576" w:rsidR="00A41E72" w:rsidRDefault="00A41E72">
    <w:pPr>
      <w:pStyle w:val="Footer"/>
      <w:tabs>
        <w:tab w:val="right" w:pos="888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CA5D" w14:textId="1CC8E5C3" w:rsidR="00A41E72" w:rsidRPr="009D7D20" w:rsidRDefault="00A41E72" w:rsidP="009D7D20">
    <w:pPr>
      <w:pStyle w:val="DocumentName"/>
      <w:spacing w:before="120"/>
      <w:rPr>
        <w:sz w:val="18"/>
        <w:szCs w:val="18"/>
      </w:rPr>
    </w:pPr>
    <w:r w:rsidRPr="009D7D20">
      <w:rPr>
        <w:sz w:val="18"/>
        <w:szCs w:val="18"/>
      </w:rPr>
      <w:t>18728-001\</w:t>
    </w:r>
    <w:r w:rsidRPr="009D7D20">
      <w:rPr>
        <w:sz w:val="18"/>
        <w:szCs w:val="18"/>
      </w:rPr>
      <w:fldChar w:fldCharType="begin"/>
    </w:r>
    <w:r w:rsidRPr="009D7D20">
      <w:rPr>
        <w:sz w:val="18"/>
        <w:szCs w:val="18"/>
      </w:rPr>
      <w:instrText xml:space="preserve"> FILENAME </w:instrText>
    </w:r>
    <w:r w:rsidRPr="009D7D20">
      <w:rPr>
        <w:sz w:val="18"/>
        <w:szCs w:val="18"/>
      </w:rPr>
      <w:fldChar w:fldCharType="separate"/>
    </w:r>
    <w:r w:rsidR="00293B5B">
      <w:rPr>
        <w:noProof/>
        <w:sz w:val="18"/>
        <w:szCs w:val="18"/>
      </w:rPr>
      <w:t>1735220_12.docx</w:t>
    </w:r>
    <w:r w:rsidRPr="009D7D20">
      <w:rPr>
        <w:sz w:val="18"/>
        <w:szCs w:val="18"/>
      </w:rPr>
      <w:fldChar w:fldCharType="end"/>
    </w:r>
  </w:p>
  <w:p w14:paraId="204B39CA" w14:textId="77777777" w:rsidR="00A41E72" w:rsidRDefault="00A41E72">
    <w:pPr>
      <w:pStyle w:val="Footer"/>
      <w:tabs>
        <w:tab w:val="center" w:pos="4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5886" w14:textId="77777777" w:rsidR="00A41E72" w:rsidRDefault="00A41E72">
    <w:pPr>
      <w:pStyle w:val="Footer"/>
      <w:tabs>
        <w:tab w:val="center" w:pos="43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934C" w14:textId="77777777" w:rsidR="00A41E72" w:rsidRDefault="00A41E72">
    <w:pPr>
      <w:pStyle w:val="Footer"/>
      <w:tabs>
        <w:tab w:val="center" w:pos="4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EE40" w14:textId="77777777" w:rsidR="00A41E72" w:rsidRDefault="00A41E72">
    <w:pPr>
      <w:pStyle w:val="Footer"/>
      <w:tabs>
        <w:tab w:val="cente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534FA" w14:textId="77777777" w:rsidR="00A41E72" w:rsidRDefault="00A41E72">
      <w:r>
        <w:separator/>
      </w:r>
    </w:p>
  </w:footnote>
  <w:footnote w:type="continuationSeparator" w:id="0">
    <w:p w14:paraId="2955E6B4" w14:textId="77777777" w:rsidR="00A41E72" w:rsidRDefault="00A41E72">
      <w:r>
        <w:continuationSeparator/>
      </w:r>
    </w:p>
  </w:footnote>
  <w:footnote w:id="1">
    <w:p w14:paraId="09872645" w14:textId="77777777" w:rsidR="00A41E72" w:rsidRDefault="00A41E72" w:rsidP="001935E8">
      <w:pPr>
        <w:pStyle w:val="FootnoteText"/>
      </w:pPr>
      <w:r>
        <w:rPr>
          <w:rStyle w:val="FootnoteReference"/>
        </w:rPr>
        <w:footnoteRef/>
      </w:r>
      <w:r>
        <w:t xml:space="preserve"> </w:t>
      </w:r>
      <w:r>
        <w:tab/>
        <w:t xml:space="preserve">By way of example, renewable energy development projects, among other benefits, generate increased tax revenues for counties and services for residents which is particularly beneficial for rural counties with a low tax base; provide opportunity for creation of new jobs; and often support maintaining ongoing agricultural operations and employment by supplementing ranch or farm income.  </w:t>
      </w:r>
    </w:p>
  </w:footnote>
  <w:footnote w:id="2">
    <w:p w14:paraId="20D3ED86" w14:textId="30BA56B2" w:rsidR="00A41E72" w:rsidRDefault="00A41E72" w:rsidP="001935E8">
      <w:pPr>
        <w:pStyle w:val="FootnoteText"/>
      </w:pPr>
      <w:r>
        <w:rPr>
          <w:rStyle w:val="FootnoteReference"/>
        </w:rPr>
        <w:footnoteRef/>
      </w:r>
      <w:r>
        <w:t xml:space="preserve"> </w:t>
      </w:r>
      <w:r>
        <w:tab/>
        <w:t xml:space="preserve">For example, there is testimony in the legislative record that the </w:t>
      </w:r>
      <w:proofErr w:type="spellStart"/>
      <w:r>
        <w:t>EFSC</w:t>
      </w:r>
      <w:proofErr w:type="spellEnd"/>
      <w:r>
        <w:t xml:space="preserve"> process can exceed the time for County processing by a year or more; that the </w:t>
      </w:r>
      <w:proofErr w:type="spellStart"/>
      <w:r>
        <w:t>EFSC</w:t>
      </w:r>
      <w:proofErr w:type="spellEnd"/>
      <w:r>
        <w:t xml:space="preserve"> fees cost well over 10 times an average County fee; and that </w:t>
      </w:r>
      <w:proofErr w:type="spellStart"/>
      <w:r>
        <w:t>EFSC</w:t>
      </w:r>
      <w:proofErr w:type="spellEnd"/>
      <w:r>
        <w:t xml:space="preserve"> standards (</w:t>
      </w:r>
      <w:r w:rsidRPr="007340DA">
        <w:rPr>
          <w:i/>
        </w:rPr>
        <w:t>e.g.</w:t>
      </w:r>
      <w:r>
        <w:t>, structural standards) may not be applicable and are not well-tailored to a diversity of sites, including small and mid-sized projects</w:t>
      </w:r>
      <w:r w:rsidRPr="006E5963">
        <w:t>.  App-6 (February 26, 2019</w:t>
      </w:r>
      <w:r>
        <w:t>,</w:t>
      </w:r>
      <w:r w:rsidRPr="006E5963">
        <w:t xml:space="preserve"> Testimony of Obsidian Renewables, LLC); App-10 [February 28, 2019</w:t>
      </w:r>
      <w:r>
        <w:t>,</w:t>
      </w:r>
      <w:r w:rsidRPr="006E5963">
        <w:t xml:space="preserve"> Testimony of Renewables Northwest).</w:t>
      </w:r>
    </w:p>
  </w:footnote>
  <w:footnote w:id="3">
    <w:p w14:paraId="7D4BF9F4" w14:textId="6F576FF7" w:rsidR="00A41E72" w:rsidRDefault="00A41E72" w:rsidP="001935E8">
      <w:pPr>
        <w:pStyle w:val="FootnoteText"/>
      </w:pPr>
      <w:r>
        <w:rPr>
          <w:rStyle w:val="FootnoteReference"/>
        </w:rPr>
        <w:footnoteRef/>
      </w:r>
      <w:r>
        <w:t xml:space="preserve"> </w:t>
      </w:r>
      <w:r>
        <w:tab/>
        <w:t>For example, OAR 660-023-0090</w:t>
      </w:r>
      <w:r>
        <w:fldChar w:fldCharType="begin"/>
      </w:r>
      <w:r>
        <w:instrText xml:space="preserve"> TA \l "</w:instrText>
      </w:r>
      <w:r w:rsidRPr="00965CCC">
        <w:instrText>OAR 660-023-0090</w:instrText>
      </w:r>
      <w:r>
        <w:instrText xml:space="preserve">" \s "OAR 660-023-0090" \c 4 </w:instrText>
      </w:r>
      <w:r>
        <w:fldChar w:fldCharType="end"/>
      </w:r>
      <w:r>
        <w:t xml:space="preserve"> addresses riparian corridors.  It requires local jurisdictions to define and protect riparian corridors.  It allows a jurisdiction to meet Goal 5 by using safe harbor provisions, such as preventing permanent alteration of areas 75 feet upland from the top of each bank for certain streams.  It also allows the jurisdiction to use the standard process after consultation with a number of listed sources, such as Oregon Department of Fish and Wildlife maps indicating fish habitat.  OAR 660-023-0090(4), (5)</w:t>
      </w:r>
      <w:r>
        <w:fldChar w:fldCharType="begin"/>
      </w:r>
      <w:r>
        <w:instrText xml:space="preserve"> TA \l "</w:instrText>
      </w:r>
      <w:r w:rsidRPr="00965CCC">
        <w:instrText>OAR 660-023-0090(4), (5)</w:instrText>
      </w:r>
      <w:r>
        <w:instrText xml:space="preserve">" \s "OAR 660-023-0090(4), (5)" \c 4 </w:instrText>
      </w:r>
      <w:r>
        <w:fldChar w:fldCharType="end"/>
      </w:r>
      <w:r>
        <w:t xml:space="preserve">.  </w:t>
      </w:r>
    </w:p>
  </w:footnote>
  <w:footnote w:id="4">
    <w:p w14:paraId="66C10265" w14:textId="051441E5" w:rsidR="00A41E72" w:rsidRDefault="00A41E72" w:rsidP="001B6EDE">
      <w:pPr>
        <w:pStyle w:val="BodyText"/>
      </w:pPr>
      <w:r>
        <w:rPr>
          <w:rStyle w:val="FootnoteReference"/>
        </w:rPr>
        <w:footnoteRef/>
      </w:r>
      <w:r>
        <w:t xml:space="preserve"> </w:t>
      </w:r>
      <w:proofErr w:type="spellStart"/>
      <w:r>
        <w:t>ORS</w:t>
      </w:r>
      <w:proofErr w:type="spellEnd"/>
      <w:r>
        <w:t xml:space="preserve"> 215.446</w:t>
      </w:r>
      <w:r>
        <w:fldChar w:fldCharType="begin"/>
      </w:r>
      <w:r>
        <w:instrText xml:space="preserve"> TA \s "</w:instrText>
      </w:r>
      <w:proofErr w:type="spellStart"/>
      <w:r>
        <w:instrText>ORS</w:instrText>
      </w:r>
      <w:proofErr w:type="spellEnd"/>
      <w:r>
        <w:instrText xml:space="preserve"> 215.446" </w:instrText>
      </w:r>
      <w:r>
        <w:fldChar w:fldCharType="end"/>
      </w:r>
      <w:r>
        <w:t xml:space="preserve"> provides, in part, as follows:</w:t>
      </w:r>
    </w:p>
    <w:p w14:paraId="1585C72B" w14:textId="77777777" w:rsidR="00A41E72" w:rsidRDefault="00A41E72" w:rsidP="00B7249F">
      <w:pPr>
        <w:pStyle w:val="Quote"/>
        <w:spacing w:after="240"/>
        <w:ind w:firstLine="720"/>
      </w:pPr>
      <w:r w:rsidRPr="00A10223">
        <w:t xml:space="preserve">“(2) An application for a land use permit to establish a renewable energy facility must be made under </w:t>
      </w:r>
      <w:proofErr w:type="spellStart"/>
      <w:r w:rsidRPr="00A10223">
        <w:t>ORS</w:t>
      </w:r>
      <w:proofErr w:type="spellEnd"/>
      <w:r w:rsidRPr="00A10223">
        <w:t xml:space="preserve"> 215.416. An applicant must demonstrate to the satisfaction of the county that the renewable energy facility meets the standards under subsection (3)</w:t>
      </w:r>
      <w:r>
        <w:t> </w:t>
      </w:r>
      <w:r w:rsidRPr="00A10223">
        <w:t>of this section.</w:t>
      </w:r>
    </w:p>
    <w:p w14:paraId="4836745E" w14:textId="0A9F268D" w:rsidR="00A41E72" w:rsidRPr="00A10223" w:rsidRDefault="00A41E72" w:rsidP="00B7249F">
      <w:pPr>
        <w:pStyle w:val="Quote"/>
        <w:spacing w:after="240"/>
        <w:ind w:firstLine="720"/>
      </w:pPr>
      <w:r w:rsidRPr="00440A35">
        <w:t>(3) In order to issue a permit, the county shall require that the applicant</w:t>
      </w:r>
      <w:r w:rsidRPr="00A10223">
        <w:t xml:space="preserve"> </w:t>
      </w:r>
    </w:p>
    <w:p w14:paraId="6C1B1961" w14:textId="55CE7937" w:rsidR="00A41E72" w:rsidRPr="00A10223" w:rsidRDefault="00A41E72" w:rsidP="00B7249F">
      <w:pPr>
        <w:pStyle w:val="Quote"/>
        <w:spacing w:after="240"/>
        <w:ind w:firstLine="720"/>
      </w:pPr>
      <w:r>
        <w:t>(a)</w:t>
      </w:r>
      <w:r w:rsidRPr="008F4972">
        <w:t>(A) Consult with the State Department of Fish and Wildlife, prior to submitting a final application to the county, regarding fish and wildlife habitat impacts and any mitigation plan that is necessary;</w:t>
      </w:r>
    </w:p>
    <w:p w14:paraId="66A99945" w14:textId="69A9F696" w:rsidR="00A41E72" w:rsidRDefault="00A41E72" w:rsidP="00B7249F">
      <w:pPr>
        <w:pStyle w:val="Quote"/>
        <w:spacing w:after="240"/>
        <w:ind w:firstLine="720"/>
      </w:pPr>
      <w:r w:rsidRPr="008F4972">
        <w:t>(B) Conduct a habitat assessment of the proposed development site;</w:t>
      </w:r>
    </w:p>
    <w:p w14:paraId="1369CFCD" w14:textId="218F2E1A" w:rsidR="00A41E72" w:rsidRPr="00A10223" w:rsidRDefault="00A41E72" w:rsidP="00B7249F">
      <w:pPr>
        <w:pStyle w:val="Quote"/>
        <w:spacing w:after="240"/>
        <w:ind w:firstLine="720"/>
      </w:pPr>
      <w:r w:rsidRPr="008F4972">
        <w:t xml:space="preserve">(C) Develop a mitigation plan to address significant fish and wildlife habitat impacts consistent with the administrative rules adopted by the State Fish and Wildlife Commission for the purposes of implementing </w:t>
      </w:r>
      <w:proofErr w:type="spellStart"/>
      <w:r w:rsidRPr="008F4972">
        <w:t>ORS</w:t>
      </w:r>
      <w:proofErr w:type="spellEnd"/>
      <w:r w:rsidRPr="008F4972">
        <w:t xml:space="preserve"> 496.012; and</w:t>
      </w:r>
    </w:p>
    <w:p w14:paraId="5D5595E1" w14:textId="5B988455" w:rsidR="00A41E72" w:rsidRDefault="00A41E72" w:rsidP="00B7249F">
      <w:pPr>
        <w:pStyle w:val="Quote"/>
        <w:spacing w:after="240"/>
        <w:ind w:firstLine="720"/>
      </w:pPr>
      <w:r w:rsidRPr="008F4972">
        <w:t>(D) Follow administrative rules adopted by the State Fish and Wildlife Commission and rules adopted by the Land Conservation and Development Commission to implement the Oregon Sage-Grouse Action Plan and Executive Order 15-18.</w:t>
      </w:r>
      <w:r>
        <w:t>”</w:t>
      </w:r>
    </w:p>
  </w:footnote>
  <w:footnote w:id="5">
    <w:p w14:paraId="3763D199" w14:textId="0581FB49" w:rsidR="00A41E72" w:rsidRDefault="00A41E72">
      <w:pPr>
        <w:pStyle w:val="FootnoteText"/>
      </w:pPr>
      <w:r>
        <w:rPr>
          <w:rStyle w:val="FootnoteReference"/>
        </w:rPr>
        <w:footnoteRef/>
      </w:r>
      <w:r>
        <w:t xml:space="preserve"> </w:t>
      </w:r>
      <w:r>
        <w:tab/>
        <w:t xml:space="preserve">Similarly, as noted above, neither is required under </w:t>
      </w:r>
      <w:proofErr w:type="spellStart"/>
      <w:r>
        <w:t>LCDC’s</w:t>
      </w:r>
      <w:proofErr w:type="spellEnd"/>
      <w:r>
        <w:t xml:space="preserve"> solar siting rule at OAR 660-033-0130(38)</w:t>
      </w:r>
      <w:r>
        <w:fldChar w:fldCharType="begin"/>
      </w:r>
      <w:r>
        <w:instrText xml:space="preserve"> TA \s "OAR 660-033-0130(38)" </w:instrText>
      </w:r>
      <w:r>
        <w:fldChar w:fldCharType="end"/>
      </w:r>
      <w:r>
        <w:t>.</w:t>
      </w:r>
    </w:p>
  </w:footnote>
  <w:footnote w:id="6">
    <w:p w14:paraId="0B6CB3E6" w14:textId="71B1170D" w:rsidR="00A41E72" w:rsidRDefault="00A41E72" w:rsidP="00895FBC">
      <w:pPr>
        <w:pStyle w:val="FootnoteText"/>
      </w:pPr>
      <w:r>
        <w:rPr>
          <w:rStyle w:val="FootnoteReference"/>
        </w:rPr>
        <w:footnoteRef/>
      </w:r>
      <w:r>
        <w:t xml:space="preserve"> </w:t>
      </w:r>
      <w:r>
        <w:tab/>
      </w:r>
      <w:r w:rsidRPr="00171B1F">
        <w:rPr>
          <w:i/>
        </w:rPr>
        <w:t>See</w:t>
      </w:r>
      <w:r>
        <w:rPr>
          <w:i/>
        </w:rPr>
        <w:t>,</w:t>
      </w:r>
      <w:r w:rsidRPr="00171B1F">
        <w:rPr>
          <w:i/>
        </w:rPr>
        <w:t xml:space="preserve"> e.g.</w:t>
      </w:r>
      <w:r>
        <w:t xml:space="preserve">, Third Amended Site Certificate for Shepherd’s Flat North (February 26, 2021), Condition Nos. 83 &amp; 85, </w:t>
      </w:r>
      <w:r w:rsidRPr="00962E25">
        <w:rPr>
          <w:i/>
        </w:rPr>
        <w:t>available at</w:t>
      </w:r>
      <w:r>
        <w:t xml:space="preserve"> </w:t>
      </w:r>
      <w:r w:rsidRPr="001E4ECA">
        <w:t>https://www.oregon.gov/energy/facilities-safety/facilities/Facilities%20library/2021-02-26-SFSAMD3-Site-Certificate-on-Amendment-3.pdf</w:t>
      </w:r>
      <w:r w:rsidRPr="001E4ECA" w:rsidDel="001E4ECA">
        <w:t xml:space="preserve"> </w:t>
      </w:r>
      <w:r>
        <w:t>(accessed July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F0E9" w14:textId="03AD5A6A" w:rsidR="00A41E72" w:rsidRDefault="00A41E72">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065B9">
      <w:rPr>
        <w:rStyle w:val="PageNumber"/>
        <w:noProof/>
      </w:rPr>
      <w:t>ii</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62F6" w14:textId="064F4099" w:rsidR="00A41E72" w:rsidRDefault="00A41E72">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7554B">
      <w:rPr>
        <w:rStyle w:val="PageNumber"/>
        <w:noProof/>
      </w:rPr>
      <w:t>24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1AD6" w14:textId="77AA8AC1" w:rsidR="00A41E72" w:rsidRDefault="00A41E72">
    <w:pPr>
      <w:pStyle w:val="Header"/>
      <w:rPr>
        <w:b/>
        <w:bCs/>
        <w:sz w:val="32"/>
      </w:rPr>
    </w:pPr>
    <w:r>
      <w:rPr>
        <w:rStyle w:val="PageNumber"/>
        <w:b/>
        <w:bCs/>
        <w:sz w:val="32"/>
      </w:rPr>
      <w:tab/>
      <w:t>ER–</w:t>
    </w:r>
    <w:r>
      <w:rPr>
        <w:rStyle w:val="PageNumber"/>
        <w:b/>
        <w:bCs/>
        <w:sz w:val="32"/>
      </w:rPr>
      <w:fldChar w:fldCharType="begin"/>
    </w:r>
    <w:r>
      <w:rPr>
        <w:rStyle w:val="PageNumber"/>
        <w:b/>
        <w:bCs/>
        <w:sz w:val="32"/>
      </w:rPr>
      <w:instrText xml:space="preserve"> PAGE </w:instrText>
    </w:r>
    <w:r>
      <w:rPr>
        <w:rStyle w:val="PageNumber"/>
        <w:b/>
        <w:bCs/>
        <w:sz w:val="32"/>
      </w:rPr>
      <w:fldChar w:fldCharType="separate"/>
    </w:r>
    <w:r w:rsidR="0017554B">
      <w:rPr>
        <w:rStyle w:val="PageNumber"/>
        <w:b/>
        <w:bCs/>
        <w:noProof/>
        <w:sz w:val="32"/>
      </w:rPr>
      <w:t>1</w:t>
    </w:r>
    <w:r>
      <w:rPr>
        <w:rStyle w:val="PageNumber"/>
        <w:b/>
        <w:bCs/>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7155" w14:textId="06437E3E" w:rsidR="00A41E72" w:rsidRDefault="00A41E72">
    <w:pPr>
      <w:pStyle w:val="Header"/>
      <w:tabs>
        <w:tab w:val="clear" w:pos="8880"/>
      </w:tabs>
      <w:rPr>
        <w:b/>
        <w:bCs/>
        <w:sz w:val="32"/>
      </w:rPr>
    </w:pPr>
    <w:r>
      <w:rPr>
        <w:b/>
        <w:bCs/>
        <w:sz w:val="32"/>
      </w:rPr>
      <w:tab/>
      <w:t>App–</w:t>
    </w:r>
    <w:r>
      <w:rPr>
        <w:rStyle w:val="PageNumber"/>
        <w:b/>
        <w:bCs/>
        <w:sz w:val="32"/>
      </w:rPr>
      <w:fldChar w:fldCharType="begin"/>
    </w:r>
    <w:r>
      <w:rPr>
        <w:rStyle w:val="PageNumber"/>
        <w:b/>
        <w:bCs/>
        <w:sz w:val="32"/>
      </w:rPr>
      <w:instrText xml:space="preserve"> PAGE </w:instrText>
    </w:r>
    <w:r>
      <w:rPr>
        <w:rStyle w:val="PageNumber"/>
        <w:b/>
        <w:bCs/>
        <w:sz w:val="32"/>
      </w:rPr>
      <w:fldChar w:fldCharType="separate"/>
    </w:r>
    <w:r w:rsidR="0017554B">
      <w:rPr>
        <w:rStyle w:val="PageNumber"/>
        <w:b/>
        <w:bCs/>
        <w:noProof/>
        <w:sz w:val="32"/>
      </w:rPr>
      <w:t>1</w:t>
    </w:r>
    <w:r>
      <w:rPr>
        <w:rStyle w:val="PageNumber"/>
        <w:b/>
        <w:bCs/>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9D41" w14:textId="77777777" w:rsidR="00A41E72" w:rsidRDefault="00A4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D4AD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545C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8470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264B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6EB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4C4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EACA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6E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C2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0F6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5A56E5"/>
    <w:multiLevelType w:val="multilevel"/>
    <w:tmpl w:val="B6B6EA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1" w15:restartNumberingAfterBreak="0">
    <w:nsid w:val="2B076862"/>
    <w:multiLevelType w:val="hybridMultilevel"/>
    <w:tmpl w:val="A5509722"/>
    <w:lvl w:ilvl="0" w:tplc="08F88F70">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F09094F"/>
    <w:multiLevelType w:val="multilevel"/>
    <w:tmpl w:val="536271F4"/>
    <w:lvl w:ilvl="0">
      <w:start w:val="1"/>
      <w:numFmt w:val="upperRoman"/>
      <w:pStyle w:val="Heading1"/>
      <w:lvlText w:val="%1."/>
      <w:lvlJc w:val="left"/>
      <w:pPr>
        <w:ind w:left="0" w:firstLine="0"/>
      </w:pPr>
      <w:rPr>
        <w:rFonts w:hint="default"/>
        <w:b/>
        <w:i w:val="0"/>
      </w:rPr>
    </w:lvl>
    <w:lvl w:ilvl="1">
      <w:start w:val="1"/>
      <w:numFmt w:val="upperLetter"/>
      <w:pStyle w:val="Heading2"/>
      <w:lvlText w:val="%2."/>
      <w:lvlJc w:val="left"/>
      <w:pPr>
        <w:ind w:left="2250" w:firstLine="0"/>
      </w:pPr>
      <w:rPr>
        <w:rFonts w:hint="default"/>
        <w:b/>
        <w:i w:val="0"/>
      </w:rPr>
    </w:lvl>
    <w:lvl w:ilvl="2">
      <w:start w:val="1"/>
      <w:numFmt w:val="decimal"/>
      <w:pStyle w:val="Heading3"/>
      <w:lvlText w:val="%3."/>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b w:val="0"/>
        <w:i w:val="0"/>
      </w:rPr>
    </w:lvl>
    <w:lvl w:ilvl="4">
      <w:start w:val="1"/>
      <w:numFmt w:val="decimal"/>
      <w:pStyle w:val="Heading5"/>
      <w:lvlText w:val="(%5)"/>
      <w:lvlJc w:val="left"/>
      <w:pPr>
        <w:ind w:left="2880" w:firstLine="0"/>
      </w:pPr>
      <w:rPr>
        <w:rFonts w:hint="default"/>
        <w:b w:val="0"/>
        <w:i/>
      </w:rPr>
    </w:lvl>
    <w:lvl w:ilvl="5">
      <w:start w:val="1"/>
      <w:numFmt w:val="lowerLetter"/>
      <w:pStyle w:val="Heading6"/>
      <w:lvlText w:val="(%6)"/>
      <w:lvlJc w:val="left"/>
      <w:pPr>
        <w:ind w:left="3600" w:firstLine="0"/>
      </w:pPr>
      <w:rPr>
        <w:rFonts w:hint="default"/>
        <w:b w:val="0"/>
        <w:i w:val="0"/>
      </w:rPr>
    </w:lvl>
    <w:lvl w:ilvl="6">
      <w:start w:val="1"/>
      <w:numFmt w:val="lowerRoman"/>
      <w:pStyle w:val="Heading7"/>
      <w:lvlText w:val="(%7)"/>
      <w:lvlJc w:val="left"/>
      <w:pPr>
        <w:ind w:left="4320" w:firstLine="0"/>
      </w:pPr>
      <w:rPr>
        <w:rFonts w:hint="default"/>
        <w:b w:val="0"/>
        <w:i/>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72"/>
    <w:rsid w:val="00000334"/>
    <w:rsid w:val="000011F7"/>
    <w:rsid w:val="00004A8D"/>
    <w:rsid w:val="00006AFA"/>
    <w:rsid w:val="000141C4"/>
    <w:rsid w:val="000174F5"/>
    <w:rsid w:val="00020226"/>
    <w:rsid w:val="00025B0F"/>
    <w:rsid w:val="000440D1"/>
    <w:rsid w:val="00045419"/>
    <w:rsid w:val="0005424B"/>
    <w:rsid w:val="00056F6D"/>
    <w:rsid w:val="00061F11"/>
    <w:rsid w:val="000623ED"/>
    <w:rsid w:val="000644C4"/>
    <w:rsid w:val="00065A23"/>
    <w:rsid w:val="0006608F"/>
    <w:rsid w:val="00066A25"/>
    <w:rsid w:val="000721D8"/>
    <w:rsid w:val="00076FCD"/>
    <w:rsid w:val="000865D1"/>
    <w:rsid w:val="00086B2D"/>
    <w:rsid w:val="00091E50"/>
    <w:rsid w:val="000A3C85"/>
    <w:rsid w:val="000B6BA1"/>
    <w:rsid w:val="000B736F"/>
    <w:rsid w:val="000C4CF3"/>
    <w:rsid w:val="000C7542"/>
    <w:rsid w:val="000D16C8"/>
    <w:rsid w:val="000D58BA"/>
    <w:rsid w:val="000D7D85"/>
    <w:rsid w:val="000F2BCE"/>
    <w:rsid w:val="00103C82"/>
    <w:rsid w:val="001241B9"/>
    <w:rsid w:val="00133860"/>
    <w:rsid w:val="00154472"/>
    <w:rsid w:val="00157597"/>
    <w:rsid w:val="00157757"/>
    <w:rsid w:val="001627E6"/>
    <w:rsid w:val="00164358"/>
    <w:rsid w:val="00164757"/>
    <w:rsid w:val="00165ED1"/>
    <w:rsid w:val="001711C9"/>
    <w:rsid w:val="00171922"/>
    <w:rsid w:val="00171B1F"/>
    <w:rsid w:val="0017554B"/>
    <w:rsid w:val="001777CF"/>
    <w:rsid w:val="00181BB4"/>
    <w:rsid w:val="001823F5"/>
    <w:rsid w:val="00186364"/>
    <w:rsid w:val="00191F53"/>
    <w:rsid w:val="00191FAE"/>
    <w:rsid w:val="001935E8"/>
    <w:rsid w:val="001A205C"/>
    <w:rsid w:val="001A2099"/>
    <w:rsid w:val="001A2278"/>
    <w:rsid w:val="001A2610"/>
    <w:rsid w:val="001A3DC8"/>
    <w:rsid w:val="001A7899"/>
    <w:rsid w:val="001A7DCE"/>
    <w:rsid w:val="001B1252"/>
    <w:rsid w:val="001B3AF8"/>
    <w:rsid w:val="001B6EDE"/>
    <w:rsid w:val="001D5627"/>
    <w:rsid w:val="001D73D2"/>
    <w:rsid w:val="001E09D3"/>
    <w:rsid w:val="001E1657"/>
    <w:rsid w:val="001E4D35"/>
    <w:rsid w:val="001E4ECA"/>
    <w:rsid w:val="00215E31"/>
    <w:rsid w:val="00217526"/>
    <w:rsid w:val="0022063B"/>
    <w:rsid w:val="00234801"/>
    <w:rsid w:val="002403CB"/>
    <w:rsid w:val="00251091"/>
    <w:rsid w:val="0025559C"/>
    <w:rsid w:val="00262AA2"/>
    <w:rsid w:val="00263FAA"/>
    <w:rsid w:val="002710DB"/>
    <w:rsid w:val="00273ED1"/>
    <w:rsid w:val="0028032C"/>
    <w:rsid w:val="002819B3"/>
    <w:rsid w:val="00283DC2"/>
    <w:rsid w:val="00293463"/>
    <w:rsid w:val="00293B5B"/>
    <w:rsid w:val="00294A2F"/>
    <w:rsid w:val="002A0389"/>
    <w:rsid w:val="002A4959"/>
    <w:rsid w:val="002A4E1B"/>
    <w:rsid w:val="002C2BA3"/>
    <w:rsid w:val="002D3486"/>
    <w:rsid w:val="002D422A"/>
    <w:rsid w:val="002E1CD6"/>
    <w:rsid w:val="002E1F36"/>
    <w:rsid w:val="002E3A5E"/>
    <w:rsid w:val="002E7F17"/>
    <w:rsid w:val="00304700"/>
    <w:rsid w:val="00307C6D"/>
    <w:rsid w:val="00313D10"/>
    <w:rsid w:val="00340FD6"/>
    <w:rsid w:val="00342894"/>
    <w:rsid w:val="00353D25"/>
    <w:rsid w:val="00354CC8"/>
    <w:rsid w:val="003730B3"/>
    <w:rsid w:val="00380FBC"/>
    <w:rsid w:val="00382C5B"/>
    <w:rsid w:val="0038729C"/>
    <w:rsid w:val="00395EC7"/>
    <w:rsid w:val="003971C6"/>
    <w:rsid w:val="003A1961"/>
    <w:rsid w:val="003A213E"/>
    <w:rsid w:val="003A65CB"/>
    <w:rsid w:val="003B14B3"/>
    <w:rsid w:val="003B247D"/>
    <w:rsid w:val="003B52B8"/>
    <w:rsid w:val="003B76DE"/>
    <w:rsid w:val="003B7B9F"/>
    <w:rsid w:val="003C6061"/>
    <w:rsid w:val="003D39CC"/>
    <w:rsid w:val="003D5B28"/>
    <w:rsid w:val="003D787F"/>
    <w:rsid w:val="003E553B"/>
    <w:rsid w:val="003E6D1F"/>
    <w:rsid w:val="003F1625"/>
    <w:rsid w:val="003F1F52"/>
    <w:rsid w:val="003F33A7"/>
    <w:rsid w:val="003F41AC"/>
    <w:rsid w:val="003F54D6"/>
    <w:rsid w:val="003F592A"/>
    <w:rsid w:val="003F61B2"/>
    <w:rsid w:val="00404242"/>
    <w:rsid w:val="00404978"/>
    <w:rsid w:val="004103AB"/>
    <w:rsid w:val="0041275F"/>
    <w:rsid w:val="00413BAD"/>
    <w:rsid w:val="00414236"/>
    <w:rsid w:val="00425908"/>
    <w:rsid w:val="00426F57"/>
    <w:rsid w:val="004313E8"/>
    <w:rsid w:val="00433D89"/>
    <w:rsid w:val="00440A35"/>
    <w:rsid w:val="00447094"/>
    <w:rsid w:val="00450ECE"/>
    <w:rsid w:val="004575E3"/>
    <w:rsid w:val="0046109D"/>
    <w:rsid w:val="00461422"/>
    <w:rsid w:val="004716EF"/>
    <w:rsid w:val="00483CAA"/>
    <w:rsid w:val="00495085"/>
    <w:rsid w:val="0049660C"/>
    <w:rsid w:val="004A5070"/>
    <w:rsid w:val="004A56A7"/>
    <w:rsid w:val="004B2A2C"/>
    <w:rsid w:val="004C28B2"/>
    <w:rsid w:val="004D04E9"/>
    <w:rsid w:val="004D0AC5"/>
    <w:rsid w:val="004D4E48"/>
    <w:rsid w:val="004F6957"/>
    <w:rsid w:val="0050258C"/>
    <w:rsid w:val="00503A54"/>
    <w:rsid w:val="005065B9"/>
    <w:rsid w:val="00512E23"/>
    <w:rsid w:val="00515B3E"/>
    <w:rsid w:val="00525C83"/>
    <w:rsid w:val="00526A88"/>
    <w:rsid w:val="00537921"/>
    <w:rsid w:val="00541F67"/>
    <w:rsid w:val="00555752"/>
    <w:rsid w:val="00566FC4"/>
    <w:rsid w:val="00572527"/>
    <w:rsid w:val="00573198"/>
    <w:rsid w:val="005735FF"/>
    <w:rsid w:val="00576E93"/>
    <w:rsid w:val="00580304"/>
    <w:rsid w:val="005806BF"/>
    <w:rsid w:val="00581FC4"/>
    <w:rsid w:val="00587412"/>
    <w:rsid w:val="0059038E"/>
    <w:rsid w:val="00593480"/>
    <w:rsid w:val="005960E2"/>
    <w:rsid w:val="005B095C"/>
    <w:rsid w:val="005B23B3"/>
    <w:rsid w:val="005B7621"/>
    <w:rsid w:val="005C084A"/>
    <w:rsid w:val="005C16CB"/>
    <w:rsid w:val="005C2A39"/>
    <w:rsid w:val="005C50F1"/>
    <w:rsid w:val="005C6644"/>
    <w:rsid w:val="005D31A4"/>
    <w:rsid w:val="005E3DD6"/>
    <w:rsid w:val="005F1CA2"/>
    <w:rsid w:val="006110CF"/>
    <w:rsid w:val="006204EB"/>
    <w:rsid w:val="00621131"/>
    <w:rsid w:val="00622063"/>
    <w:rsid w:val="0062389D"/>
    <w:rsid w:val="00626F0B"/>
    <w:rsid w:val="00627C74"/>
    <w:rsid w:val="006315AD"/>
    <w:rsid w:val="0064326D"/>
    <w:rsid w:val="00651150"/>
    <w:rsid w:val="00652639"/>
    <w:rsid w:val="0066258E"/>
    <w:rsid w:val="00666DCB"/>
    <w:rsid w:val="0067339D"/>
    <w:rsid w:val="00674AC6"/>
    <w:rsid w:val="0067612E"/>
    <w:rsid w:val="00692F1A"/>
    <w:rsid w:val="00693932"/>
    <w:rsid w:val="00694ECE"/>
    <w:rsid w:val="0069678C"/>
    <w:rsid w:val="00696BF6"/>
    <w:rsid w:val="00697C46"/>
    <w:rsid w:val="006A3552"/>
    <w:rsid w:val="006B0F1B"/>
    <w:rsid w:val="006C113C"/>
    <w:rsid w:val="006C67C8"/>
    <w:rsid w:val="006C7746"/>
    <w:rsid w:val="006D1F7C"/>
    <w:rsid w:val="006E3D0A"/>
    <w:rsid w:val="006E5963"/>
    <w:rsid w:val="006E7FC6"/>
    <w:rsid w:val="006F4800"/>
    <w:rsid w:val="00700B22"/>
    <w:rsid w:val="00701064"/>
    <w:rsid w:val="0071663D"/>
    <w:rsid w:val="007215C8"/>
    <w:rsid w:val="007340DA"/>
    <w:rsid w:val="00734C80"/>
    <w:rsid w:val="00744CE7"/>
    <w:rsid w:val="007530BD"/>
    <w:rsid w:val="00753FE3"/>
    <w:rsid w:val="0076056C"/>
    <w:rsid w:val="007700DE"/>
    <w:rsid w:val="0077782F"/>
    <w:rsid w:val="00781D93"/>
    <w:rsid w:val="007925BB"/>
    <w:rsid w:val="00793E85"/>
    <w:rsid w:val="007968A9"/>
    <w:rsid w:val="00796EB1"/>
    <w:rsid w:val="007A18C2"/>
    <w:rsid w:val="007A2BA6"/>
    <w:rsid w:val="007A2F2F"/>
    <w:rsid w:val="007B5940"/>
    <w:rsid w:val="007C7781"/>
    <w:rsid w:val="007E0EDE"/>
    <w:rsid w:val="007E15F2"/>
    <w:rsid w:val="007F16EB"/>
    <w:rsid w:val="007F5588"/>
    <w:rsid w:val="007F7873"/>
    <w:rsid w:val="00803393"/>
    <w:rsid w:val="008035A1"/>
    <w:rsid w:val="00811506"/>
    <w:rsid w:val="008123B8"/>
    <w:rsid w:val="008141FC"/>
    <w:rsid w:val="0081579B"/>
    <w:rsid w:val="0082323F"/>
    <w:rsid w:val="00824789"/>
    <w:rsid w:val="00835A01"/>
    <w:rsid w:val="00851D54"/>
    <w:rsid w:val="0085785F"/>
    <w:rsid w:val="00860437"/>
    <w:rsid w:val="00860FF6"/>
    <w:rsid w:val="00864E8C"/>
    <w:rsid w:val="00867791"/>
    <w:rsid w:val="00872E92"/>
    <w:rsid w:val="00873754"/>
    <w:rsid w:val="00882113"/>
    <w:rsid w:val="00884A48"/>
    <w:rsid w:val="00893A28"/>
    <w:rsid w:val="00894D4F"/>
    <w:rsid w:val="00895FBC"/>
    <w:rsid w:val="008969DC"/>
    <w:rsid w:val="008A7CE5"/>
    <w:rsid w:val="008B03E1"/>
    <w:rsid w:val="008B2E97"/>
    <w:rsid w:val="008B5753"/>
    <w:rsid w:val="008B6616"/>
    <w:rsid w:val="008C008D"/>
    <w:rsid w:val="008C0142"/>
    <w:rsid w:val="008C09E4"/>
    <w:rsid w:val="008C4575"/>
    <w:rsid w:val="008E1059"/>
    <w:rsid w:val="008E3E73"/>
    <w:rsid w:val="008E592D"/>
    <w:rsid w:val="008E5BD8"/>
    <w:rsid w:val="008F24DA"/>
    <w:rsid w:val="008F4972"/>
    <w:rsid w:val="008F767A"/>
    <w:rsid w:val="009106E4"/>
    <w:rsid w:val="0091572A"/>
    <w:rsid w:val="00916FF0"/>
    <w:rsid w:val="009214D8"/>
    <w:rsid w:val="0092462F"/>
    <w:rsid w:val="00934A19"/>
    <w:rsid w:val="00936D69"/>
    <w:rsid w:val="0094546E"/>
    <w:rsid w:val="0094566C"/>
    <w:rsid w:val="009604DB"/>
    <w:rsid w:val="00962E25"/>
    <w:rsid w:val="00980CE6"/>
    <w:rsid w:val="00982AE2"/>
    <w:rsid w:val="00983614"/>
    <w:rsid w:val="00984E09"/>
    <w:rsid w:val="00996D65"/>
    <w:rsid w:val="009C501E"/>
    <w:rsid w:val="009D1443"/>
    <w:rsid w:val="009D7D20"/>
    <w:rsid w:val="009E22B2"/>
    <w:rsid w:val="009F2F31"/>
    <w:rsid w:val="009F777B"/>
    <w:rsid w:val="00A04FD3"/>
    <w:rsid w:val="00A0705E"/>
    <w:rsid w:val="00A10223"/>
    <w:rsid w:val="00A15C24"/>
    <w:rsid w:val="00A20BC7"/>
    <w:rsid w:val="00A24AFE"/>
    <w:rsid w:val="00A262BD"/>
    <w:rsid w:val="00A31D6A"/>
    <w:rsid w:val="00A32811"/>
    <w:rsid w:val="00A36EF2"/>
    <w:rsid w:val="00A41E72"/>
    <w:rsid w:val="00A447CF"/>
    <w:rsid w:val="00A516B3"/>
    <w:rsid w:val="00A53A9B"/>
    <w:rsid w:val="00A5474F"/>
    <w:rsid w:val="00A57CB3"/>
    <w:rsid w:val="00A65DA7"/>
    <w:rsid w:val="00A8079C"/>
    <w:rsid w:val="00A81567"/>
    <w:rsid w:val="00A81C3C"/>
    <w:rsid w:val="00A8316A"/>
    <w:rsid w:val="00AA09AD"/>
    <w:rsid w:val="00AA1688"/>
    <w:rsid w:val="00AA1805"/>
    <w:rsid w:val="00AA2D7D"/>
    <w:rsid w:val="00AB1681"/>
    <w:rsid w:val="00AB590F"/>
    <w:rsid w:val="00AC335E"/>
    <w:rsid w:val="00AC577D"/>
    <w:rsid w:val="00AC5ADF"/>
    <w:rsid w:val="00AD534D"/>
    <w:rsid w:val="00AD6402"/>
    <w:rsid w:val="00AD6958"/>
    <w:rsid w:val="00AE1203"/>
    <w:rsid w:val="00AE20DB"/>
    <w:rsid w:val="00AF6E88"/>
    <w:rsid w:val="00AF7EDF"/>
    <w:rsid w:val="00B06153"/>
    <w:rsid w:val="00B112D3"/>
    <w:rsid w:val="00B12E9B"/>
    <w:rsid w:val="00B22423"/>
    <w:rsid w:val="00B3056B"/>
    <w:rsid w:val="00B3197B"/>
    <w:rsid w:val="00B348BF"/>
    <w:rsid w:val="00B46AA3"/>
    <w:rsid w:val="00B503DB"/>
    <w:rsid w:val="00B51FA9"/>
    <w:rsid w:val="00B52C8C"/>
    <w:rsid w:val="00B57A0A"/>
    <w:rsid w:val="00B60507"/>
    <w:rsid w:val="00B7085C"/>
    <w:rsid w:val="00B70B1A"/>
    <w:rsid w:val="00B7249F"/>
    <w:rsid w:val="00B756E4"/>
    <w:rsid w:val="00B7585A"/>
    <w:rsid w:val="00B811AB"/>
    <w:rsid w:val="00B9395D"/>
    <w:rsid w:val="00B9488E"/>
    <w:rsid w:val="00B97536"/>
    <w:rsid w:val="00BA15B5"/>
    <w:rsid w:val="00BA2821"/>
    <w:rsid w:val="00BA69DB"/>
    <w:rsid w:val="00BB18B2"/>
    <w:rsid w:val="00BC543F"/>
    <w:rsid w:val="00BE05D1"/>
    <w:rsid w:val="00BE5535"/>
    <w:rsid w:val="00BF094F"/>
    <w:rsid w:val="00BF4041"/>
    <w:rsid w:val="00BF5917"/>
    <w:rsid w:val="00BF7078"/>
    <w:rsid w:val="00C01FB5"/>
    <w:rsid w:val="00C1131F"/>
    <w:rsid w:val="00C158FD"/>
    <w:rsid w:val="00C21CC1"/>
    <w:rsid w:val="00C2363F"/>
    <w:rsid w:val="00C24C74"/>
    <w:rsid w:val="00C263C2"/>
    <w:rsid w:val="00C319A2"/>
    <w:rsid w:val="00C33E71"/>
    <w:rsid w:val="00C34078"/>
    <w:rsid w:val="00C3512E"/>
    <w:rsid w:val="00C50456"/>
    <w:rsid w:val="00C55A27"/>
    <w:rsid w:val="00C55C7C"/>
    <w:rsid w:val="00C5794B"/>
    <w:rsid w:val="00C739A5"/>
    <w:rsid w:val="00C74B31"/>
    <w:rsid w:val="00C74E03"/>
    <w:rsid w:val="00CA3C21"/>
    <w:rsid w:val="00CA5FBA"/>
    <w:rsid w:val="00CA71C8"/>
    <w:rsid w:val="00CB0448"/>
    <w:rsid w:val="00CB1BE9"/>
    <w:rsid w:val="00CB3358"/>
    <w:rsid w:val="00CB4B7E"/>
    <w:rsid w:val="00CB67FC"/>
    <w:rsid w:val="00CC2E00"/>
    <w:rsid w:val="00CC490B"/>
    <w:rsid w:val="00CC5472"/>
    <w:rsid w:val="00CC6E1B"/>
    <w:rsid w:val="00CD30A3"/>
    <w:rsid w:val="00CD57F9"/>
    <w:rsid w:val="00CF02AB"/>
    <w:rsid w:val="00CF2044"/>
    <w:rsid w:val="00CF2442"/>
    <w:rsid w:val="00CF4947"/>
    <w:rsid w:val="00CF5149"/>
    <w:rsid w:val="00CF5C3C"/>
    <w:rsid w:val="00CF6988"/>
    <w:rsid w:val="00D00E0F"/>
    <w:rsid w:val="00D10A77"/>
    <w:rsid w:val="00D117A5"/>
    <w:rsid w:val="00D22889"/>
    <w:rsid w:val="00D31DF0"/>
    <w:rsid w:val="00D31EEC"/>
    <w:rsid w:val="00D31F8E"/>
    <w:rsid w:val="00D326F8"/>
    <w:rsid w:val="00D405BB"/>
    <w:rsid w:val="00D546D4"/>
    <w:rsid w:val="00D57454"/>
    <w:rsid w:val="00D61D4B"/>
    <w:rsid w:val="00D727F3"/>
    <w:rsid w:val="00D72918"/>
    <w:rsid w:val="00D739D6"/>
    <w:rsid w:val="00D74E2D"/>
    <w:rsid w:val="00D87AF0"/>
    <w:rsid w:val="00D93816"/>
    <w:rsid w:val="00DA1F42"/>
    <w:rsid w:val="00DA34C9"/>
    <w:rsid w:val="00DA567C"/>
    <w:rsid w:val="00DB092F"/>
    <w:rsid w:val="00DE29B1"/>
    <w:rsid w:val="00DE50C0"/>
    <w:rsid w:val="00DF1811"/>
    <w:rsid w:val="00DF18E1"/>
    <w:rsid w:val="00DF4DAB"/>
    <w:rsid w:val="00E035FA"/>
    <w:rsid w:val="00E061BB"/>
    <w:rsid w:val="00E12088"/>
    <w:rsid w:val="00E17D9C"/>
    <w:rsid w:val="00E32839"/>
    <w:rsid w:val="00E3577E"/>
    <w:rsid w:val="00E4295E"/>
    <w:rsid w:val="00E502B2"/>
    <w:rsid w:val="00E5074C"/>
    <w:rsid w:val="00E612E6"/>
    <w:rsid w:val="00E66DB0"/>
    <w:rsid w:val="00E72B90"/>
    <w:rsid w:val="00E73985"/>
    <w:rsid w:val="00E802F4"/>
    <w:rsid w:val="00E8273A"/>
    <w:rsid w:val="00E836EF"/>
    <w:rsid w:val="00E83BA3"/>
    <w:rsid w:val="00E85BCA"/>
    <w:rsid w:val="00E92284"/>
    <w:rsid w:val="00E96BCA"/>
    <w:rsid w:val="00EA2DFC"/>
    <w:rsid w:val="00EB27EE"/>
    <w:rsid w:val="00EB4705"/>
    <w:rsid w:val="00EB4D06"/>
    <w:rsid w:val="00EB7259"/>
    <w:rsid w:val="00EC0569"/>
    <w:rsid w:val="00EC319B"/>
    <w:rsid w:val="00EC657F"/>
    <w:rsid w:val="00ED0E83"/>
    <w:rsid w:val="00ED213A"/>
    <w:rsid w:val="00ED2868"/>
    <w:rsid w:val="00ED3D3C"/>
    <w:rsid w:val="00EE31D1"/>
    <w:rsid w:val="00EE327E"/>
    <w:rsid w:val="00EE66F1"/>
    <w:rsid w:val="00EE7D34"/>
    <w:rsid w:val="00EF0267"/>
    <w:rsid w:val="00EF1145"/>
    <w:rsid w:val="00EF2CA2"/>
    <w:rsid w:val="00F04B00"/>
    <w:rsid w:val="00F11F87"/>
    <w:rsid w:val="00F21D6C"/>
    <w:rsid w:val="00F27802"/>
    <w:rsid w:val="00F3479F"/>
    <w:rsid w:val="00F46A78"/>
    <w:rsid w:val="00F5700B"/>
    <w:rsid w:val="00F6665B"/>
    <w:rsid w:val="00F70513"/>
    <w:rsid w:val="00F7658A"/>
    <w:rsid w:val="00F90530"/>
    <w:rsid w:val="00F90A27"/>
    <w:rsid w:val="00F918D5"/>
    <w:rsid w:val="00FA0A4E"/>
    <w:rsid w:val="00FA25A5"/>
    <w:rsid w:val="00FA5849"/>
    <w:rsid w:val="00FB185D"/>
    <w:rsid w:val="00FB1FE3"/>
    <w:rsid w:val="00FC5314"/>
    <w:rsid w:val="00FD545F"/>
    <w:rsid w:val="00FD546A"/>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EF04B"/>
  <w15:chartTrackingRefBased/>
  <w15:docId w15:val="{A62C447C-1477-4C2D-B2A7-95C0F3E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E8"/>
    <w:rPr>
      <w:sz w:val="26"/>
    </w:rPr>
  </w:style>
  <w:style w:type="paragraph" w:styleId="Heading1">
    <w:name w:val="heading 1"/>
    <w:basedOn w:val="Normal"/>
    <w:next w:val="BodyText"/>
    <w:qFormat/>
    <w:rsid w:val="001935E8"/>
    <w:pPr>
      <w:keepNext/>
      <w:numPr>
        <w:numId w:val="11"/>
      </w:numPr>
      <w:spacing w:after="240"/>
      <w:jc w:val="center"/>
      <w:outlineLvl w:val="0"/>
    </w:pPr>
    <w:rPr>
      <w:b/>
      <w:caps/>
      <w:sz w:val="28"/>
      <w:szCs w:val="26"/>
    </w:rPr>
  </w:style>
  <w:style w:type="paragraph" w:styleId="Heading2">
    <w:name w:val="heading 2"/>
    <w:basedOn w:val="Normal"/>
    <w:next w:val="BodyText"/>
    <w:qFormat/>
    <w:rsid w:val="001935E8"/>
    <w:pPr>
      <w:keepNext/>
      <w:keepLines/>
      <w:numPr>
        <w:ilvl w:val="1"/>
        <w:numId w:val="11"/>
      </w:numPr>
      <w:spacing w:after="240"/>
      <w:ind w:left="720" w:hanging="720"/>
      <w:outlineLvl w:val="1"/>
    </w:pPr>
    <w:rPr>
      <w:b/>
      <w:sz w:val="28"/>
      <w:szCs w:val="26"/>
    </w:rPr>
  </w:style>
  <w:style w:type="paragraph" w:styleId="Heading3">
    <w:name w:val="heading 3"/>
    <w:basedOn w:val="Normal"/>
    <w:next w:val="BodyText"/>
    <w:qFormat/>
    <w:rsid w:val="007F16EB"/>
    <w:pPr>
      <w:keepNext/>
      <w:numPr>
        <w:ilvl w:val="2"/>
        <w:numId w:val="11"/>
      </w:numPr>
      <w:spacing w:after="240"/>
      <w:ind w:hanging="720"/>
      <w:outlineLvl w:val="2"/>
    </w:pPr>
    <w:rPr>
      <w:b/>
      <w:sz w:val="28"/>
    </w:rPr>
  </w:style>
  <w:style w:type="paragraph" w:styleId="Heading4">
    <w:name w:val="heading 4"/>
    <w:basedOn w:val="Normal"/>
    <w:next w:val="BodyText"/>
    <w:qFormat/>
    <w:rsid w:val="00CB67FC"/>
    <w:pPr>
      <w:keepNext/>
      <w:numPr>
        <w:numId w:val="31"/>
      </w:numPr>
      <w:tabs>
        <w:tab w:val="left" w:pos="1440"/>
      </w:tabs>
      <w:spacing w:after="240"/>
      <w:outlineLvl w:val="3"/>
    </w:pPr>
    <w:rPr>
      <w:b/>
    </w:rPr>
  </w:style>
  <w:style w:type="paragraph" w:styleId="Heading5">
    <w:name w:val="heading 5"/>
    <w:basedOn w:val="Normal"/>
    <w:next w:val="BodyText"/>
    <w:qFormat/>
    <w:pPr>
      <w:keepNext/>
      <w:numPr>
        <w:ilvl w:val="4"/>
        <w:numId w:val="11"/>
      </w:numPr>
      <w:tabs>
        <w:tab w:val="left" w:pos="2160"/>
      </w:tabs>
      <w:spacing w:line="480" w:lineRule="auto"/>
      <w:outlineLvl w:val="4"/>
    </w:pPr>
  </w:style>
  <w:style w:type="paragraph" w:styleId="Heading6">
    <w:name w:val="heading 6"/>
    <w:basedOn w:val="Normal"/>
    <w:next w:val="BodyText"/>
    <w:qFormat/>
    <w:pPr>
      <w:numPr>
        <w:ilvl w:val="5"/>
        <w:numId w:val="11"/>
      </w:numPr>
      <w:tabs>
        <w:tab w:val="left" w:pos="2880"/>
      </w:tabs>
      <w:spacing w:line="480" w:lineRule="auto"/>
      <w:outlineLvl w:val="5"/>
    </w:pPr>
  </w:style>
  <w:style w:type="paragraph" w:styleId="Heading7">
    <w:name w:val="heading 7"/>
    <w:basedOn w:val="Normal"/>
    <w:next w:val="BodyText"/>
    <w:qFormat/>
    <w:pPr>
      <w:numPr>
        <w:ilvl w:val="6"/>
        <w:numId w:val="11"/>
      </w:numPr>
      <w:tabs>
        <w:tab w:val="left" w:pos="3600"/>
      </w:tabs>
      <w:spacing w:line="480" w:lineRule="auto"/>
      <w:outlineLvl w:val="6"/>
    </w:pPr>
  </w:style>
  <w:style w:type="paragraph" w:styleId="Heading8">
    <w:name w:val="heading 8"/>
    <w:basedOn w:val="Normal"/>
    <w:next w:val="Normal"/>
    <w:qFormat/>
    <w:pPr>
      <w:numPr>
        <w:ilvl w:val="7"/>
        <w:numId w:val="11"/>
      </w:numPr>
      <w:tabs>
        <w:tab w:val="left" w:pos="4320"/>
      </w:tabs>
      <w:spacing w:line="480" w:lineRule="auto"/>
      <w:outlineLvl w:val="7"/>
    </w:pPr>
  </w:style>
  <w:style w:type="paragraph" w:styleId="Heading9">
    <w:name w:val="heading 9"/>
    <w:basedOn w:val="Normal"/>
    <w:next w:val="Normal"/>
    <w:qFormat/>
    <w:pPr>
      <w:numPr>
        <w:ilvl w:val="8"/>
        <w:numId w:val="1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6EB"/>
    <w:pPr>
      <w:spacing w:line="480" w:lineRule="auto"/>
      <w:ind w:firstLine="720"/>
    </w:pPr>
    <w:rPr>
      <w:sz w:val="28"/>
      <w:szCs w:val="28"/>
    </w:rPr>
  </w:style>
  <w:style w:type="paragraph" w:customStyle="1" w:styleId="DocumentName">
    <w:name w:val="Document Name"/>
    <w:basedOn w:val="Normal"/>
    <w:pPr>
      <w:spacing w:before="240"/>
      <w:jc w:val="right"/>
    </w:pPr>
    <w:rPr>
      <w:sz w:val="16"/>
      <w:szCs w:val="24"/>
    </w:rPr>
  </w:style>
  <w:style w:type="paragraph" w:styleId="Header">
    <w:name w:val="header"/>
    <w:basedOn w:val="Normal"/>
    <w:pPr>
      <w:tabs>
        <w:tab w:val="right" w:pos="8880"/>
        <w:tab w:val="right" w:pos="9000"/>
      </w:tabs>
    </w:pPr>
  </w:style>
  <w:style w:type="paragraph" w:customStyle="1" w:styleId="Quotenewparagraph">
    <w:name w:val="Quote new paragraph"/>
    <w:basedOn w:val="Normal"/>
    <w:next w:val="BodyText"/>
    <w:pPr>
      <w:keepNext/>
      <w:spacing w:after="480"/>
      <w:ind w:left="720" w:right="720" w:firstLine="720"/>
    </w:pPr>
  </w:style>
  <w:style w:type="paragraph" w:styleId="Footer">
    <w:name w:val="footer"/>
    <w:basedOn w:val="Normal"/>
    <w:pPr>
      <w:tabs>
        <w:tab w:val="left" w:pos="720"/>
      </w:tabs>
      <w:ind w:left="720" w:hanging="720"/>
    </w:pPr>
  </w:style>
  <w:style w:type="character" w:styleId="FootnoteReference">
    <w:name w:val="footnote reference"/>
    <w:semiHidden/>
    <w:rPr>
      <w:vertAlign w:val="superscript"/>
    </w:rPr>
  </w:style>
  <w:style w:type="paragraph" w:customStyle="1" w:styleId="Documenttitle">
    <w:name w:val="Document title"/>
    <w:basedOn w:val="Normal"/>
    <w:next w:val="BodyText"/>
    <w:pPr>
      <w:spacing w:after="240"/>
      <w:jc w:val="center"/>
    </w:pPr>
    <w:rPr>
      <w:b/>
      <w:u w:val="single"/>
    </w:rPr>
  </w:style>
  <w:style w:type="paragraph" w:customStyle="1" w:styleId="Table">
    <w:name w:val="Table"/>
    <w:basedOn w:val="Normal"/>
    <w:pPr>
      <w:tabs>
        <w:tab w:val="left" w:pos="720"/>
      </w:tabs>
      <w:spacing w:after="240"/>
    </w:pPr>
  </w:style>
  <w:style w:type="paragraph" w:styleId="Title">
    <w:name w:val="Title"/>
    <w:basedOn w:val="Normal"/>
    <w:qFormat/>
    <w:pPr>
      <w:spacing w:after="240"/>
      <w:jc w:val="center"/>
    </w:pPr>
    <w:rPr>
      <w:b/>
      <w:caps/>
      <w:kern w:val="28"/>
    </w:rPr>
  </w:style>
  <w:style w:type="character" w:styleId="PageNumber">
    <w:name w:val="page number"/>
    <w:basedOn w:val="DefaultParagraphFont"/>
  </w:style>
  <w:style w:type="paragraph" w:customStyle="1" w:styleId="BodyText1">
    <w:name w:val="Body Text 1"/>
    <w:basedOn w:val="Normal"/>
    <w:pPr>
      <w:spacing w:after="240"/>
      <w:ind w:firstLine="720"/>
    </w:pPr>
  </w:style>
  <w:style w:type="character" w:customStyle="1" w:styleId="BoldAllCaps">
    <w:name w:val="Bold AllCaps"/>
    <w:rPr>
      <w:b/>
      <w:bCs/>
      <w:caps/>
    </w:rPr>
  </w:style>
  <w:style w:type="paragraph" w:styleId="BodyText2">
    <w:name w:val="Body Text 2"/>
    <w:basedOn w:val="Normal"/>
    <w:pPr>
      <w:spacing w:after="240"/>
    </w:pPr>
  </w:style>
  <w:style w:type="paragraph" w:styleId="BodyTextIndent">
    <w:name w:val="Body Text Indent"/>
    <w:basedOn w:val="Normal"/>
    <w:link w:val="BodyTextIndentChar"/>
    <w:pPr>
      <w:spacing w:after="120"/>
      <w:ind w:left="360"/>
    </w:pPr>
  </w:style>
  <w:style w:type="paragraph" w:customStyle="1" w:styleId="BodyTextLeft">
    <w:name w:val="Body Text Left"/>
    <w:basedOn w:val="Normal"/>
  </w:style>
  <w:style w:type="paragraph" w:customStyle="1" w:styleId="CenterHeading">
    <w:name w:val="Center Heading"/>
    <w:basedOn w:val="Normal"/>
    <w:pPr>
      <w:spacing w:before="240" w:after="240"/>
      <w:jc w:val="center"/>
    </w:pPr>
    <w:rPr>
      <w:b/>
      <w:bC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sz w:val="22"/>
    </w:rPr>
  </w:style>
  <w:style w:type="paragraph" w:styleId="FootnoteText">
    <w:name w:val="footnote text"/>
    <w:basedOn w:val="Normal"/>
    <w:semiHidden/>
    <w:rsid w:val="007F16EB"/>
    <w:pPr>
      <w:spacing w:after="120"/>
    </w:pPr>
    <w:rPr>
      <w:sz w:val="28"/>
      <w:szCs w:val="26"/>
    </w:rPr>
  </w:style>
  <w:style w:type="paragraph" w:styleId="ListBullet">
    <w:name w:val="List Bullet"/>
    <w:basedOn w:val="Normal"/>
    <w:autoRedefine/>
    <w:pPr>
      <w:numPr>
        <w:numId w:val="21"/>
      </w:numPr>
    </w:pPr>
  </w:style>
  <w:style w:type="character" w:customStyle="1" w:styleId="Redline">
    <w:name w:val="Redline"/>
    <w:rPr>
      <w:color w:val="FF0000"/>
      <w:u w:val="single" w:color="FF0000"/>
    </w:rPr>
  </w:style>
  <w:style w:type="paragraph" w:styleId="Signature">
    <w:name w:val="Signature"/>
    <w:basedOn w:val="Normal"/>
    <w:pPr>
      <w:keepNext/>
      <w:tabs>
        <w:tab w:val="left" w:pos="9270"/>
      </w:tabs>
      <w:ind w:left="4320"/>
    </w:pPr>
  </w:style>
  <w:style w:type="paragraph" w:customStyle="1" w:styleId="SignatureBlock">
    <w:name w:val="Signature Block"/>
    <w:basedOn w:val="Normal"/>
    <w:pPr>
      <w:keepNext/>
      <w:tabs>
        <w:tab w:val="left" w:pos="9270"/>
      </w:tabs>
      <w:ind w:left="4320"/>
    </w:pPr>
  </w:style>
  <w:style w:type="paragraph" w:styleId="Subtitle">
    <w:name w:val="Subtitle"/>
    <w:basedOn w:val="Normal"/>
    <w:next w:val="BodyText"/>
    <w:qFormat/>
    <w:pPr>
      <w:spacing w:after="240"/>
      <w:jc w:val="center"/>
      <w:outlineLvl w:val="1"/>
    </w:pPr>
  </w:style>
  <w:style w:type="paragraph" w:customStyle="1" w:styleId="Table2">
    <w:name w:val="Table2"/>
    <w:basedOn w:val="Normal"/>
    <w:pPr>
      <w:spacing w:before="120"/>
      <w:ind w:left="720"/>
    </w:pPr>
  </w:style>
  <w:style w:type="paragraph" w:styleId="TOC1">
    <w:name w:val="toc 1"/>
    <w:basedOn w:val="Normal"/>
    <w:next w:val="Normal"/>
    <w:uiPriority w:val="39"/>
    <w:rsid w:val="008E5BD8"/>
    <w:pPr>
      <w:tabs>
        <w:tab w:val="left" w:pos="720"/>
        <w:tab w:val="right" w:leader="dot" w:pos="9000"/>
      </w:tabs>
      <w:spacing w:after="240"/>
      <w:outlineLvl w:val="0"/>
    </w:pPr>
    <w:rPr>
      <w:caps/>
      <w:noProof/>
    </w:rPr>
  </w:style>
  <w:style w:type="paragraph" w:styleId="TOC2">
    <w:name w:val="toc 2"/>
    <w:basedOn w:val="Normal"/>
    <w:next w:val="Normal"/>
    <w:uiPriority w:val="39"/>
    <w:rsid w:val="008E5BD8"/>
    <w:pPr>
      <w:tabs>
        <w:tab w:val="right" w:leader="dot" w:pos="8990"/>
      </w:tabs>
      <w:spacing w:after="240"/>
      <w:ind w:left="1440" w:hanging="720"/>
      <w:outlineLvl w:val="1"/>
    </w:pPr>
    <w:rPr>
      <w:noProof/>
    </w:rPr>
  </w:style>
  <w:style w:type="paragraph" w:styleId="TOC3">
    <w:name w:val="toc 3"/>
    <w:basedOn w:val="Normal"/>
    <w:next w:val="Normal"/>
    <w:uiPriority w:val="39"/>
    <w:rsid w:val="008E5BD8"/>
    <w:pPr>
      <w:tabs>
        <w:tab w:val="right" w:leader="dot" w:pos="8990"/>
      </w:tabs>
      <w:spacing w:after="240"/>
      <w:ind w:left="2160" w:hanging="720"/>
    </w:pPr>
    <w:rPr>
      <w:noProof/>
    </w:rPr>
  </w:style>
  <w:style w:type="paragraph" w:styleId="TOC4">
    <w:name w:val="toc 4"/>
    <w:basedOn w:val="Normal"/>
    <w:next w:val="Normal"/>
    <w:semiHidden/>
    <w:pPr>
      <w:tabs>
        <w:tab w:val="left" w:pos="1440"/>
      </w:tabs>
      <w:spacing w:after="240"/>
      <w:ind w:left="1440" w:hanging="72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Bold">
    <w:name w:val="Bold"/>
    <w:rsid w:val="00186364"/>
    <w:rPr>
      <w:b/>
    </w:rPr>
  </w:style>
  <w:style w:type="paragraph" w:styleId="Quote">
    <w:name w:val="Quote"/>
    <w:basedOn w:val="Normal"/>
    <w:next w:val="BodyText"/>
    <w:qFormat/>
    <w:rsid w:val="00A10223"/>
    <w:pPr>
      <w:keepLines/>
      <w:spacing w:after="480"/>
      <w:ind w:left="720" w:right="720"/>
    </w:pPr>
    <w:rPr>
      <w:sz w:val="28"/>
      <w:szCs w:val="28"/>
    </w:rPr>
  </w:style>
  <w:style w:type="paragraph" w:customStyle="1" w:styleId="QuoteReference">
    <w:name w:val="Quote Reference"/>
    <w:basedOn w:val="Normal"/>
    <w:next w:val="BodyText"/>
    <w:pPr>
      <w:ind w:left="720"/>
    </w:pPr>
  </w:style>
  <w:style w:type="paragraph" w:styleId="BlockText">
    <w:name w:val="Block Text"/>
    <w:basedOn w:val="Normal"/>
    <w:pPr>
      <w:spacing w:after="120"/>
      <w:ind w:left="1440" w:right="1440"/>
    </w:pPr>
  </w:style>
  <w:style w:type="paragraph" w:customStyle="1" w:styleId="AssignmentofError">
    <w:name w:val="Assignment of Error"/>
    <w:basedOn w:val="Normal"/>
    <w:next w:val="BodyText"/>
    <w:pPr>
      <w:spacing w:line="480" w:lineRule="auto"/>
      <w:ind w:firstLine="720"/>
    </w:pPr>
  </w:style>
  <w:style w:type="paragraph" w:customStyle="1" w:styleId="TOACategoryHeading">
    <w:name w:val="TOA Category Heading"/>
    <w:basedOn w:val="Normal"/>
    <w:next w:val="BodyTextLeft"/>
    <w:pPr>
      <w:spacing w:before="240"/>
    </w:pPr>
    <w:rPr>
      <w:b/>
    </w:rPr>
  </w:style>
  <w:style w:type="character" w:customStyle="1" w:styleId="Italic">
    <w:name w:val="Italic"/>
    <w:rsid w:val="00186364"/>
    <w:rPr>
      <w:i/>
    </w:rPr>
  </w:style>
  <w:style w:type="character" w:customStyle="1" w:styleId="Underline">
    <w:name w:val="Underline"/>
    <w:rsid w:val="00186364"/>
    <w:rPr>
      <w:u w:val="single"/>
    </w:rPr>
  </w:style>
  <w:style w:type="paragraph" w:customStyle="1" w:styleId="Bodytextwithboldtitle">
    <w:name w:val="Body text with bold title"/>
    <w:basedOn w:val="Normal"/>
    <w:next w:val="BodyText"/>
    <w:pPr>
      <w:spacing w:line="480" w:lineRule="auto"/>
    </w:pPr>
    <w:rPr>
      <w:b/>
      <w:bCs/>
    </w:rPr>
  </w:style>
  <w:style w:type="paragraph" w:customStyle="1" w:styleId="CenteredPlain">
    <w:name w:val="Centered Plain"/>
    <w:basedOn w:val="Normal"/>
    <w:pPr>
      <w:jc w:val="center"/>
    </w:pPr>
  </w:style>
  <w:style w:type="paragraph" w:customStyle="1" w:styleId="Quotecentered">
    <w:name w:val="Quote centered"/>
    <w:basedOn w:val="Normal"/>
    <w:next w:val="Quote"/>
    <w:pPr>
      <w:keepNext/>
      <w:spacing w:after="240"/>
      <w:jc w:val="center"/>
    </w:pPr>
  </w:style>
  <w:style w:type="paragraph" w:styleId="TableofAuthorities">
    <w:name w:val="table of authorities"/>
    <w:basedOn w:val="Normal"/>
    <w:next w:val="Normal"/>
    <w:uiPriority w:val="99"/>
    <w:semiHidden/>
    <w:pPr>
      <w:ind w:left="259" w:right="1080" w:hanging="259"/>
    </w:pPr>
  </w:style>
  <w:style w:type="paragraph" w:styleId="TOAHeading">
    <w:name w:val="toa heading"/>
    <w:basedOn w:val="Normal"/>
    <w:next w:val="Normal"/>
    <w:uiPriority w:val="99"/>
    <w:semiHidden/>
    <w:pPr>
      <w:spacing w:before="120"/>
    </w:pPr>
    <w:rPr>
      <w:rFonts w:cs="Arial"/>
      <w:b/>
      <w:bCs/>
      <w:szCs w:val="24"/>
    </w:rPr>
  </w:style>
  <w:style w:type="character" w:customStyle="1" w:styleId="StrikeoutRed">
    <w:name w:val="Strikeout Red"/>
    <w:rPr>
      <w:strike/>
      <w:dstrike w:val="0"/>
      <w:color w:val="FF0000"/>
    </w:rPr>
  </w:style>
  <w:style w:type="paragraph" w:customStyle="1" w:styleId="Juniper">
    <w:name w:val="Juniper"/>
    <w:basedOn w:val="Normal"/>
    <w:next w:val="Normal"/>
    <w:pPr>
      <w:widowControl w:val="0"/>
      <w:spacing w:line="240" w:lineRule="exact"/>
    </w:pPr>
    <w:rPr>
      <w:sz w:val="24"/>
    </w:rPr>
  </w:style>
  <w:style w:type="character" w:styleId="Hyperlink">
    <w:name w:val="Hyperlink"/>
    <w:uiPriority w:val="99"/>
    <w:rsid w:val="000174F5"/>
    <w:rPr>
      <w:color w:val="0563C1"/>
      <w:u w:val="single"/>
    </w:rPr>
  </w:style>
  <w:style w:type="paragraph" w:styleId="CommentSubject">
    <w:name w:val="annotation subject"/>
    <w:basedOn w:val="CommentText"/>
    <w:next w:val="CommentText"/>
    <w:link w:val="CommentSubjectChar"/>
    <w:rsid w:val="006F4800"/>
    <w:rPr>
      <w:b/>
      <w:bCs/>
    </w:rPr>
  </w:style>
  <w:style w:type="character" w:customStyle="1" w:styleId="CommentTextChar">
    <w:name w:val="Comment Text Char"/>
    <w:basedOn w:val="DefaultParagraphFont"/>
    <w:link w:val="CommentText"/>
    <w:semiHidden/>
    <w:rsid w:val="006F4800"/>
  </w:style>
  <w:style w:type="character" w:customStyle="1" w:styleId="CommentSubjectChar">
    <w:name w:val="Comment Subject Char"/>
    <w:link w:val="CommentSubject"/>
    <w:rsid w:val="006F4800"/>
    <w:rPr>
      <w:b/>
      <w:bCs/>
    </w:rPr>
  </w:style>
  <w:style w:type="paragraph" w:styleId="BalloonText">
    <w:name w:val="Balloon Text"/>
    <w:basedOn w:val="Normal"/>
    <w:link w:val="BalloonTextChar"/>
    <w:rsid w:val="006F4800"/>
    <w:rPr>
      <w:rFonts w:ascii="Segoe UI" w:hAnsi="Segoe UI" w:cs="Segoe UI"/>
      <w:sz w:val="18"/>
      <w:szCs w:val="18"/>
    </w:rPr>
  </w:style>
  <w:style w:type="character" w:customStyle="1" w:styleId="BalloonTextChar">
    <w:name w:val="Balloon Text Char"/>
    <w:link w:val="BalloonText"/>
    <w:rsid w:val="006F4800"/>
    <w:rPr>
      <w:rFonts w:ascii="Segoe UI" w:hAnsi="Segoe UI" w:cs="Segoe UI"/>
      <w:sz w:val="18"/>
      <w:szCs w:val="18"/>
    </w:rPr>
  </w:style>
  <w:style w:type="paragraph" w:styleId="TOCHeading">
    <w:name w:val="TOC Heading"/>
    <w:basedOn w:val="Heading1"/>
    <w:next w:val="Normal"/>
    <w:uiPriority w:val="39"/>
    <w:unhideWhenUsed/>
    <w:qFormat/>
    <w:rsid w:val="008E5BD8"/>
    <w:pPr>
      <w:keepLines/>
      <w:numPr>
        <w:numId w:val="0"/>
      </w:numPr>
      <w:spacing w:before="240" w:after="0" w:line="259" w:lineRule="auto"/>
      <w:jc w:val="left"/>
      <w:outlineLvl w:val="9"/>
    </w:pPr>
    <w:rPr>
      <w:rFonts w:ascii="Calibri Light" w:hAnsi="Calibri Light"/>
      <w:b w:val="0"/>
      <w:caps w:val="0"/>
      <w:color w:val="2E74B5"/>
      <w:sz w:val="32"/>
      <w:szCs w:val="32"/>
    </w:rPr>
  </w:style>
  <w:style w:type="paragraph" w:styleId="Revision">
    <w:name w:val="Revision"/>
    <w:hidden/>
    <w:uiPriority w:val="99"/>
    <w:semiHidden/>
    <w:rsid w:val="00B57A0A"/>
    <w:rPr>
      <w:sz w:val="26"/>
    </w:rPr>
  </w:style>
  <w:style w:type="character" w:customStyle="1" w:styleId="BodyTextChar">
    <w:name w:val="Body Text Char"/>
    <w:link w:val="BodyText"/>
    <w:rsid w:val="007F16EB"/>
    <w:rPr>
      <w:sz w:val="28"/>
      <w:szCs w:val="28"/>
    </w:rPr>
  </w:style>
  <w:style w:type="character" w:customStyle="1" w:styleId="BodyTextIndentChar">
    <w:name w:val="Body Text Indent Char"/>
    <w:link w:val="BodyTextIndent"/>
    <w:rsid w:val="001935E8"/>
    <w:rPr>
      <w:sz w:val="26"/>
    </w:rPr>
  </w:style>
  <w:style w:type="character" w:styleId="FollowedHyperlink">
    <w:name w:val="FollowedHyperlink"/>
    <w:basedOn w:val="DefaultParagraphFont"/>
    <w:rsid w:val="001E4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28177">
      <w:bodyDiv w:val="1"/>
      <w:marLeft w:val="0"/>
      <w:marRight w:val="0"/>
      <w:marTop w:val="0"/>
      <w:marBottom w:val="0"/>
      <w:divBdr>
        <w:top w:val="none" w:sz="0" w:space="0" w:color="auto"/>
        <w:left w:val="none" w:sz="0" w:space="0" w:color="auto"/>
        <w:bottom w:val="none" w:sz="0" w:space="0" w:color="auto"/>
        <w:right w:val="none" w:sz="0" w:space="0" w:color="auto"/>
      </w:divBdr>
    </w:div>
    <w:div w:id="12804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D0CA-0D9B-4E50-A82F-1B486AB2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35</Pages>
  <Words>6118</Words>
  <Characters>41267</Characters>
  <Application>Microsoft Office Word</Application>
  <DocSecurity>0</DocSecurity>
  <Lines>343</Lines>
  <Paragraphs>94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47291</CharactersWithSpaces>
  <SharedDoc>false</SharedDoc>
  <HLinks>
    <vt:vector size="96" baseType="variant">
      <vt:variant>
        <vt:i4>1507377</vt:i4>
      </vt:variant>
      <vt:variant>
        <vt:i4>89</vt:i4>
      </vt:variant>
      <vt:variant>
        <vt:i4>0</vt:i4>
      </vt:variant>
      <vt:variant>
        <vt:i4>5</vt:i4>
      </vt:variant>
      <vt:variant>
        <vt:lpwstr/>
      </vt:variant>
      <vt:variant>
        <vt:lpwstr>_Toc77257133</vt:lpwstr>
      </vt:variant>
      <vt:variant>
        <vt:i4>1376305</vt:i4>
      </vt:variant>
      <vt:variant>
        <vt:i4>83</vt:i4>
      </vt:variant>
      <vt:variant>
        <vt:i4>0</vt:i4>
      </vt:variant>
      <vt:variant>
        <vt:i4>5</vt:i4>
      </vt:variant>
      <vt:variant>
        <vt:lpwstr/>
      </vt:variant>
      <vt:variant>
        <vt:lpwstr>_Toc77257131</vt:lpwstr>
      </vt:variant>
      <vt:variant>
        <vt:i4>1310769</vt:i4>
      </vt:variant>
      <vt:variant>
        <vt:i4>77</vt:i4>
      </vt:variant>
      <vt:variant>
        <vt:i4>0</vt:i4>
      </vt:variant>
      <vt:variant>
        <vt:i4>5</vt:i4>
      </vt:variant>
      <vt:variant>
        <vt:lpwstr/>
      </vt:variant>
      <vt:variant>
        <vt:lpwstr>_Toc77257130</vt:lpwstr>
      </vt:variant>
      <vt:variant>
        <vt:i4>1900592</vt:i4>
      </vt:variant>
      <vt:variant>
        <vt:i4>71</vt:i4>
      </vt:variant>
      <vt:variant>
        <vt:i4>0</vt:i4>
      </vt:variant>
      <vt:variant>
        <vt:i4>5</vt:i4>
      </vt:variant>
      <vt:variant>
        <vt:lpwstr/>
      </vt:variant>
      <vt:variant>
        <vt:lpwstr>_Toc77257129</vt:lpwstr>
      </vt:variant>
      <vt:variant>
        <vt:i4>1835056</vt:i4>
      </vt:variant>
      <vt:variant>
        <vt:i4>65</vt:i4>
      </vt:variant>
      <vt:variant>
        <vt:i4>0</vt:i4>
      </vt:variant>
      <vt:variant>
        <vt:i4>5</vt:i4>
      </vt:variant>
      <vt:variant>
        <vt:lpwstr/>
      </vt:variant>
      <vt:variant>
        <vt:lpwstr>_Toc77257128</vt:lpwstr>
      </vt:variant>
      <vt:variant>
        <vt:i4>1245232</vt:i4>
      </vt:variant>
      <vt:variant>
        <vt:i4>59</vt:i4>
      </vt:variant>
      <vt:variant>
        <vt:i4>0</vt:i4>
      </vt:variant>
      <vt:variant>
        <vt:i4>5</vt:i4>
      </vt:variant>
      <vt:variant>
        <vt:lpwstr/>
      </vt:variant>
      <vt:variant>
        <vt:lpwstr>_Toc77257127</vt:lpwstr>
      </vt:variant>
      <vt:variant>
        <vt:i4>1179696</vt:i4>
      </vt:variant>
      <vt:variant>
        <vt:i4>53</vt:i4>
      </vt:variant>
      <vt:variant>
        <vt:i4>0</vt:i4>
      </vt:variant>
      <vt:variant>
        <vt:i4>5</vt:i4>
      </vt:variant>
      <vt:variant>
        <vt:lpwstr/>
      </vt:variant>
      <vt:variant>
        <vt:lpwstr>_Toc77257126</vt:lpwstr>
      </vt:variant>
      <vt:variant>
        <vt:i4>1114160</vt:i4>
      </vt:variant>
      <vt:variant>
        <vt:i4>47</vt:i4>
      </vt:variant>
      <vt:variant>
        <vt:i4>0</vt:i4>
      </vt:variant>
      <vt:variant>
        <vt:i4>5</vt:i4>
      </vt:variant>
      <vt:variant>
        <vt:lpwstr/>
      </vt:variant>
      <vt:variant>
        <vt:lpwstr>_Toc77257125</vt:lpwstr>
      </vt:variant>
      <vt:variant>
        <vt:i4>1048624</vt:i4>
      </vt:variant>
      <vt:variant>
        <vt:i4>41</vt:i4>
      </vt:variant>
      <vt:variant>
        <vt:i4>0</vt:i4>
      </vt:variant>
      <vt:variant>
        <vt:i4>5</vt:i4>
      </vt:variant>
      <vt:variant>
        <vt:lpwstr/>
      </vt:variant>
      <vt:variant>
        <vt:lpwstr>_Toc77257124</vt:lpwstr>
      </vt:variant>
      <vt:variant>
        <vt:i4>1507376</vt:i4>
      </vt:variant>
      <vt:variant>
        <vt:i4>35</vt:i4>
      </vt:variant>
      <vt:variant>
        <vt:i4>0</vt:i4>
      </vt:variant>
      <vt:variant>
        <vt:i4>5</vt:i4>
      </vt:variant>
      <vt:variant>
        <vt:lpwstr/>
      </vt:variant>
      <vt:variant>
        <vt:lpwstr>_Toc77257123</vt:lpwstr>
      </vt:variant>
      <vt:variant>
        <vt:i4>1441840</vt:i4>
      </vt:variant>
      <vt:variant>
        <vt:i4>29</vt:i4>
      </vt:variant>
      <vt:variant>
        <vt:i4>0</vt:i4>
      </vt:variant>
      <vt:variant>
        <vt:i4>5</vt:i4>
      </vt:variant>
      <vt:variant>
        <vt:lpwstr/>
      </vt:variant>
      <vt:variant>
        <vt:lpwstr>_Toc77257122</vt:lpwstr>
      </vt:variant>
      <vt:variant>
        <vt:i4>1376304</vt:i4>
      </vt:variant>
      <vt:variant>
        <vt:i4>23</vt:i4>
      </vt:variant>
      <vt:variant>
        <vt:i4>0</vt:i4>
      </vt:variant>
      <vt:variant>
        <vt:i4>5</vt:i4>
      </vt:variant>
      <vt:variant>
        <vt:lpwstr/>
      </vt:variant>
      <vt:variant>
        <vt:lpwstr>_Toc77257121</vt:lpwstr>
      </vt:variant>
      <vt:variant>
        <vt:i4>1310768</vt:i4>
      </vt:variant>
      <vt:variant>
        <vt:i4>17</vt:i4>
      </vt:variant>
      <vt:variant>
        <vt:i4>0</vt:i4>
      </vt:variant>
      <vt:variant>
        <vt:i4>5</vt:i4>
      </vt:variant>
      <vt:variant>
        <vt:lpwstr/>
      </vt:variant>
      <vt:variant>
        <vt:lpwstr>_Toc77257120</vt:lpwstr>
      </vt:variant>
      <vt:variant>
        <vt:i4>1900595</vt:i4>
      </vt:variant>
      <vt:variant>
        <vt:i4>8</vt:i4>
      </vt:variant>
      <vt:variant>
        <vt:i4>0</vt:i4>
      </vt:variant>
      <vt:variant>
        <vt:i4>5</vt:i4>
      </vt:variant>
      <vt:variant>
        <vt:lpwstr/>
      </vt:variant>
      <vt:variant>
        <vt:lpwstr>_Toc77257119</vt:lpwstr>
      </vt:variant>
      <vt:variant>
        <vt:i4>1835059</vt:i4>
      </vt:variant>
      <vt:variant>
        <vt:i4>2</vt:i4>
      </vt:variant>
      <vt:variant>
        <vt:i4>0</vt:i4>
      </vt:variant>
      <vt:variant>
        <vt:i4>5</vt:i4>
      </vt:variant>
      <vt:variant>
        <vt:lpwstr/>
      </vt:variant>
      <vt:variant>
        <vt:lpwstr>_Toc77257118</vt:lpwstr>
      </vt:variant>
      <vt:variant>
        <vt:i4>3342448</vt:i4>
      </vt:variant>
      <vt:variant>
        <vt:i4>0</vt:i4>
      </vt:variant>
      <vt:variant>
        <vt:i4>0</vt:i4>
      </vt:variant>
      <vt:variant>
        <vt:i4>5</vt:i4>
      </vt:variant>
      <vt:variant>
        <vt:lpwstr>https://www.oregon.gov/energy/facilities-safety/facilities/Facilities library/2021-02-26-SFNAMD3-Site-Certificate-on-Amendmnt-3.pdf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L. Collette</dc:creator>
  <cp:keywords/>
  <dc:description/>
  <cp:lastModifiedBy>Brenda L. Collette</cp:lastModifiedBy>
  <cp:revision>73</cp:revision>
  <cp:lastPrinted>2021-07-27T22:39:00Z</cp:lastPrinted>
  <dcterms:created xsi:type="dcterms:W3CDTF">2021-07-26T23:30:00Z</dcterms:created>
  <dcterms:modified xsi:type="dcterms:W3CDTF">2021-07-27T22:47:00Z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