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6238" w14:textId="77777777" w:rsidR="002440A9" w:rsidRPr="002440A9" w:rsidRDefault="002440A9" w:rsidP="002440A9">
      <w:pPr>
        <w:tabs>
          <w:tab w:val="left" w:pos="480"/>
          <w:tab w:val="left" w:pos="1150"/>
        </w:tabs>
        <w:autoSpaceDE w:val="0"/>
        <w:autoSpaceDN w:val="0"/>
        <w:adjustRightInd w:val="0"/>
        <w:spacing w:after="0" w:line="240" w:lineRule="auto"/>
        <w:ind w:left="1150" w:hanging="2110"/>
        <w:rPr>
          <w:rFonts w:ascii="Arial" w:eastAsia="Times New Roman" w:hAnsi="Arial" w:cs="Arial"/>
          <w:sz w:val="20"/>
          <w:szCs w:val="20"/>
        </w:rPr>
      </w:pPr>
      <w:r w:rsidRPr="002440A9">
        <w:rPr>
          <w:rFonts w:ascii="Arial" w:eastAsia="Times New Roman" w:hAnsi="Arial" w:cs="Arial"/>
          <w:b/>
          <w:bCs/>
          <w:sz w:val="20"/>
          <w:szCs w:val="20"/>
        </w:rPr>
        <w:t>2.6</w:t>
      </w:r>
      <w:r w:rsidRPr="002440A9">
        <w:rPr>
          <w:rFonts w:ascii="Arial" w:eastAsia="Times New Roman" w:hAnsi="Arial" w:cs="Arial"/>
          <w:b/>
          <w:bCs/>
          <w:sz w:val="20"/>
          <w:szCs w:val="20"/>
        </w:rPr>
        <w:tab/>
        <w:t xml:space="preserve">Travel Expenses:  </w:t>
      </w:r>
      <w:r w:rsidRPr="002440A9">
        <w:rPr>
          <w:rFonts w:ascii="Arial" w:eastAsia="Times New Roman" w:hAnsi="Arial" w:cs="Arial"/>
          <w:sz w:val="20"/>
          <w:szCs w:val="20"/>
        </w:rPr>
        <w:t xml:space="preserve">Employees required to travel shall be entitled to reimbursement for all expenses associated with their duties.  </w:t>
      </w:r>
    </w:p>
    <w:p w14:paraId="6338C7EC" w14:textId="77777777" w:rsidR="002440A9" w:rsidRPr="002440A9" w:rsidRDefault="002440A9" w:rsidP="002440A9">
      <w:pPr>
        <w:tabs>
          <w:tab w:val="left" w:pos="480"/>
          <w:tab w:val="left" w:pos="1200"/>
          <w:tab w:val="left" w:pos="2160"/>
        </w:tabs>
        <w:autoSpaceDE w:val="0"/>
        <w:autoSpaceDN w:val="0"/>
        <w:adjustRightInd w:val="0"/>
        <w:spacing w:after="0" w:line="240" w:lineRule="auto"/>
        <w:ind w:left="600"/>
        <w:rPr>
          <w:rFonts w:ascii="Arial" w:eastAsia="Times New Roman" w:hAnsi="Arial" w:cs="Arial"/>
          <w:sz w:val="20"/>
          <w:szCs w:val="20"/>
        </w:rPr>
      </w:pPr>
    </w:p>
    <w:p w14:paraId="145A90D0" w14:textId="77777777" w:rsidR="002440A9" w:rsidRPr="002440A9" w:rsidRDefault="002440A9" w:rsidP="002440A9">
      <w:pPr>
        <w:numPr>
          <w:ilvl w:val="2"/>
          <w:numId w:val="1"/>
        </w:numPr>
        <w:tabs>
          <w:tab w:val="left" w:pos="480"/>
          <w:tab w:val="left" w:pos="1200"/>
          <w:tab w:val="num" w:pos="1840"/>
          <w:tab w:val="left" w:pos="2160"/>
        </w:tabs>
        <w:autoSpaceDE w:val="0"/>
        <w:autoSpaceDN w:val="0"/>
        <w:adjustRightInd w:val="0"/>
        <w:spacing w:after="0" w:line="240" w:lineRule="auto"/>
        <w:ind w:left="1840" w:hanging="690"/>
        <w:rPr>
          <w:rFonts w:ascii="Arial" w:eastAsia="Times New Roman" w:hAnsi="Arial" w:cs="Arial"/>
          <w:sz w:val="20"/>
          <w:szCs w:val="20"/>
        </w:rPr>
      </w:pPr>
      <w:r w:rsidRPr="002440A9">
        <w:rPr>
          <w:rFonts w:ascii="Arial" w:eastAsia="Times New Roman" w:hAnsi="Arial" w:cs="Arial"/>
          <w:b/>
          <w:sz w:val="20"/>
          <w:szCs w:val="20"/>
        </w:rPr>
        <w:t>Transportation:</w:t>
      </w:r>
      <w:r w:rsidRPr="002440A9">
        <w:rPr>
          <w:rFonts w:ascii="Arial" w:eastAsia="Times New Roman" w:hAnsi="Arial" w:cs="Arial"/>
          <w:sz w:val="20"/>
          <w:szCs w:val="20"/>
        </w:rPr>
        <w:t xml:space="preserve">  The actual cost of transportation, taxi fares, telephone costs and </w:t>
      </w:r>
      <w:proofErr w:type="gramStart"/>
      <w:r w:rsidRPr="002440A9">
        <w:rPr>
          <w:rFonts w:ascii="Arial" w:eastAsia="Times New Roman" w:hAnsi="Arial" w:cs="Arial"/>
          <w:sz w:val="20"/>
          <w:szCs w:val="20"/>
        </w:rPr>
        <w:tab/>
        <w:t xml:space="preserve">  similar</w:t>
      </w:r>
      <w:proofErr w:type="gramEnd"/>
      <w:r w:rsidRPr="002440A9">
        <w:rPr>
          <w:rFonts w:ascii="Arial" w:eastAsia="Times New Roman" w:hAnsi="Arial" w:cs="Arial"/>
          <w:sz w:val="20"/>
          <w:szCs w:val="20"/>
        </w:rPr>
        <w:t xml:space="preserve"> items that are incidental and are necessary to the performance of official business while in travel status. </w:t>
      </w:r>
    </w:p>
    <w:p w14:paraId="71723A80" w14:textId="77777777" w:rsidR="002440A9" w:rsidRPr="002440A9" w:rsidRDefault="002440A9" w:rsidP="002440A9">
      <w:pPr>
        <w:keepNext/>
        <w:widowControl w:val="0"/>
        <w:numPr>
          <w:ilvl w:val="2"/>
          <w:numId w:val="1"/>
        </w:numPr>
        <w:tabs>
          <w:tab w:val="num" w:pos="1840"/>
        </w:tabs>
        <w:autoSpaceDE w:val="0"/>
        <w:autoSpaceDN w:val="0"/>
        <w:adjustRightInd w:val="0"/>
        <w:spacing w:before="240" w:after="60" w:line="240" w:lineRule="auto"/>
        <w:ind w:left="1840" w:hanging="690"/>
        <w:outlineLvl w:val="2"/>
        <w:rPr>
          <w:rFonts w:ascii="Arial" w:eastAsia="Times New Roman" w:hAnsi="Arial" w:cs="Arial"/>
          <w:bCs/>
          <w:sz w:val="20"/>
          <w:szCs w:val="20"/>
        </w:rPr>
      </w:pPr>
      <w:bookmarkStart w:id="0" w:name="_Toc500852322"/>
      <w:r w:rsidRPr="002440A9">
        <w:rPr>
          <w:rFonts w:ascii="Arial" w:eastAsia="Times New Roman" w:hAnsi="Arial" w:cs="Arial"/>
          <w:b/>
          <w:bCs/>
          <w:sz w:val="20"/>
          <w:szCs w:val="20"/>
        </w:rPr>
        <w:t>Mileage:</w:t>
      </w:r>
      <w:r w:rsidRPr="002440A9">
        <w:rPr>
          <w:rFonts w:ascii="Arial" w:eastAsia="Times New Roman" w:hAnsi="Arial" w:cs="Arial"/>
          <w:bCs/>
          <w:sz w:val="20"/>
          <w:szCs w:val="20"/>
        </w:rPr>
        <w:t xml:space="preserve"> Travelers may use their private vehicle for business purposes if it is less expensive than renting a car or using alternative transportation.  Reimbursement for personal vehicle use may be claimed at the standard IRS mileage rate. All travel must be by the most direct or expeditious route possible and any employee who travels by an indirect route must bear any extra expense occasioned thereby.   Employees using their own vehicles for travel incurred for the </w:t>
      </w:r>
      <w:proofErr w:type="gramStart"/>
      <w:r w:rsidRPr="002440A9">
        <w:rPr>
          <w:rFonts w:ascii="Arial" w:eastAsia="Times New Roman" w:hAnsi="Arial" w:cs="Arial"/>
          <w:bCs/>
          <w:sz w:val="20"/>
          <w:szCs w:val="20"/>
        </w:rPr>
        <w:t>District</w:t>
      </w:r>
      <w:proofErr w:type="gramEnd"/>
      <w:r w:rsidRPr="002440A9">
        <w:rPr>
          <w:rFonts w:ascii="Arial" w:eastAsia="Times New Roman" w:hAnsi="Arial" w:cs="Arial"/>
          <w:bCs/>
          <w:sz w:val="20"/>
          <w:szCs w:val="20"/>
        </w:rPr>
        <w:t xml:space="preserve"> business will be required to carry an automobile insurance policy with coverage as specified by their state of residence and a valid driver’s license.</w:t>
      </w:r>
      <w:bookmarkEnd w:id="0"/>
      <w:r w:rsidRPr="002440A9">
        <w:rPr>
          <w:rFonts w:ascii="Arial" w:eastAsia="Times New Roman" w:hAnsi="Arial" w:cs="Arial"/>
          <w:bCs/>
          <w:sz w:val="20"/>
          <w:szCs w:val="20"/>
        </w:rPr>
        <w:t xml:space="preserve"> </w:t>
      </w:r>
    </w:p>
    <w:p w14:paraId="463B3085" w14:textId="77777777" w:rsidR="002440A9" w:rsidRPr="002440A9" w:rsidRDefault="002440A9" w:rsidP="002440A9">
      <w:pPr>
        <w:keepNext/>
        <w:widowControl w:val="0"/>
        <w:autoSpaceDE w:val="0"/>
        <w:autoSpaceDN w:val="0"/>
        <w:adjustRightInd w:val="0"/>
        <w:spacing w:before="240" w:after="60" w:line="240" w:lineRule="auto"/>
        <w:ind w:left="1840" w:hanging="690"/>
        <w:outlineLvl w:val="2"/>
        <w:rPr>
          <w:rFonts w:ascii="Arial" w:eastAsia="Times New Roman" w:hAnsi="Arial" w:cs="Arial"/>
          <w:bCs/>
          <w:sz w:val="20"/>
          <w:szCs w:val="20"/>
        </w:rPr>
      </w:pPr>
      <w:bookmarkStart w:id="1" w:name="_Toc500852324"/>
      <w:r w:rsidRPr="002440A9">
        <w:rPr>
          <w:rFonts w:ascii="Arial" w:eastAsia="Times New Roman" w:hAnsi="Arial" w:cs="Arial"/>
          <w:bCs/>
          <w:sz w:val="20"/>
          <w:szCs w:val="20"/>
        </w:rPr>
        <w:t>2.6.3</w:t>
      </w:r>
      <w:r w:rsidRPr="002440A9">
        <w:rPr>
          <w:rFonts w:ascii="Arial" w:eastAsia="Times New Roman" w:hAnsi="Arial" w:cs="Arial"/>
          <w:b/>
          <w:bCs/>
          <w:sz w:val="20"/>
          <w:szCs w:val="20"/>
        </w:rPr>
        <w:t xml:space="preserve">    Lodging</w:t>
      </w:r>
      <w:r w:rsidRPr="002440A9">
        <w:rPr>
          <w:rFonts w:ascii="Arial" w:eastAsia="Times New Roman" w:hAnsi="Arial" w:cs="Arial"/>
          <w:bCs/>
          <w:sz w:val="20"/>
          <w:szCs w:val="20"/>
        </w:rPr>
        <w:t>:  Hotel and motel accommodations should be appropriate to the purpose of the trip.  Expenses for lodging must be supported by actual receipts and reimbursement may not exceed the GSA per diem maximum rate.</w:t>
      </w:r>
      <w:bookmarkEnd w:id="1"/>
    </w:p>
    <w:p w14:paraId="67C12712" w14:textId="77777777" w:rsidR="002440A9" w:rsidRPr="002440A9" w:rsidRDefault="002440A9" w:rsidP="002440A9">
      <w:pPr>
        <w:keepNext/>
        <w:widowControl w:val="0"/>
        <w:autoSpaceDE w:val="0"/>
        <w:autoSpaceDN w:val="0"/>
        <w:adjustRightInd w:val="0"/>
        <w:spacing w:before="240" w:after="60" w:line="240" w:lineRule="auto"/>
        <w:ind w:left="1840" w:hanging="690"/>
        <w:outlineLvl w:val="2"/>
        <w:rPr>
          <w:rFonts w:ascii="Arial" w:eastAsia="Times New Roman" w:hAnsi="Arial" w:cs="Arial"/>
          <w:bCs/>
          <w:sz w:val="20"/>
          <w:szCs w:val="20"/>
        </w:rPr>
      </w:pPr>
      <w:bookmarkStart w:id="2" w:name="_Toc500852325"/>
      <w:r w:rsidRPr="002440A9">
        <w:rPr>
          <w:rFonts w:ascii="Arial" w:eastAsia="Times New Roman" w:hAnsi="Arial" w:cs="Arial"/>
          <w:bCs/>
          <w:sz w:val="20"/>
          <w:szCs w:val="20"/>
        </w:rPr>
        <w:t xml:space="preserve">2.6.4    </w:t>
      </w:r>
      <w:r w:rsidRPr="002440A9">
        <w:rPr>
          <w:rFonts w:ascii="Arial" w:eastAsia="Times New Roman" w:hAnsi="Arial" w:cs="Arial"/>
          <w:b/>
          <w:bCs/>
          <w:sz w:val="20"/>
          <w:szCs w:val="20"/>
        </w:rPr>
        <w:t>Meals:</w:t>
      </w:r>
      <w:r w:rsidRPr="002440A9">
        <w:rPr>
          <w:rFonts w:ascii="Arial" w:eastAsia="Times New Roman" w:hAnsi="Arial" w:cs="Arial"/>
          <w:bCs/>
          <w:sz w:val="20"/>
          <w:szCs w:val="20"/>
        </w:rPr>
        <w:t xml:space="preserve">  Employees will be allowed meal expenses directly related to business. To claim a travel meal, a person must be on travel status or attending an in-District meeting where a meal is served and provide actual receipts.</w:t>
      </w:r>
      <w:bookmarkEnd w:id="2"/>
      <w:r w:rsidRPr="002440A9">
        <w:rPr>
          <w:rFonts w:ascii="Arial" w:eastAsia="Times New Roman" w:hAnsi="Arial" w:cs="Arial"/>
          <w:bCs/>
          <w:sz w:val="20"/>
          <w:szCs w:val="20"/>
        </w:rPr>
        <w:t xml:space="preserve"> Reimbursement may not exceed the GSA per diem maximum rate.</w:t>
      </w:r>
    </w:p>
    <w:p w14:paraId="7804C5B0" w14:textId="77777777" w:rsidR="002440A9" w:rsidRPr="002440A9" w:rsidRDefault="002440A9" w:rsidP="002440A9">
      <w:pPr>
        <w:tabs>
          <w:tab w:val="left" w:pos="480"/>
          <w:tab w:val="left" w:pos="1200"/>
          <w:tab w:val="left" w:pos="1920"/>
        </w:tabs>
        <w:autoSpaceDE w:val="0"/>
        <w:autoSpaceDN w:val="0"/>
        <w:adjustRightInd w:val="0"/>
        <w:spacing w:after="0" w:line="240" w:lineRule="auto"/>
        <w:ind w:left="1200"/>
        <w:rPr>
          <w:rFonts w:ascii="Arial" w:eastAsia="Times New Roman" w:hAnsi="Arial" w:cs="Arial"/>
          <w:sz w:val="18"/>
          <w:szCs w:val="18"/>
        </w:rPr>
      </w:pPr>
    </w:p>
    <w:p w14:paraId="6A20DD35" w14:textId="77777777" w:rsidR="002440A9" w:rsidRPr="002440A9" w:rsidRDefault="002440A9" w:rsidP="002440A9">
      <w:pPr>
        <w:tabs>
          <w:tab w:val="left" w:pos="480"/>
          <w:tab w:val="left" w:pos="2760"/>
        </w:tabs>
        <w:autoSpaceDE w:val="0"/>
        <w:autoSpaceDN w:val="0"/>
        <w:adjustRightInd w:val="0"/>
        <w:spacing w:after="0" w:line="240" w:lineRule="auto"/>
        <w:ind w:left="2760" w:hanging="920"/>
        <w:rPr>
          <w:rFonts w:ascii="Arial" w:eastAsia="Times New Roman" w:hAnsi="Arial" w:cs="Arial"/>
          <w:sz w:val="20"/>
          <w:szCs w:val="20"/>
        </w:rPr>
      </w:pPr>
      <w:r w:rsidRPr="002440A9">
        <w:rPr>
          <w:rFonts w:ascii="Arial" w:eastAsia="Times New Roman" w:hAnsi="Arial" w:cs="Arial"/>
          <w:sz w:val="20"/>
          <w:szCs w:val="20"/>
        </w:rPr>
        <w:t>2.6.</w:t>
      </w:r>
      <w:proofErr w:type="gramStart"/>
      <w:r w:rsidRPr="002440A9">
        <w:rPr>
          <w:rFonts w:ascii="Arial" w:eastAsia="Times New Roman" w:hAnsi="Arial" w:cs="Arial"/>
          <w:sz w:val="20"/>
          <w:szCs w:val="20"/>
        </w:rPr>
        <w:t>4.a</w:t>
      </w:r>
      <w:proofErr w:type="gramEnd"/>
      <w:r w:rsidRPr="002440A9">
        <w:rPr>
          <w:rFonts w:ascii="Arial" w:eastAsia="Times New Roman" w:hAnsi="Arial" w:cs="Arial"/>
          <w:sz w:val="20"/>
          <w:szCs w:val="20"/>
        </w:rPr>
        <w:tab/>
        <w:t>For breakfast, personnel must be on travel status for two hours or more before the beginning of their regularly scheduled work time and for dinner, personnel must be in travel status for two or more hours beyond the end of their regularly scheduled work time.  For other than local travel, lunch is an allowable expense.</w:t>
      </w:r>
    </w:p>
    <w:p w14:paraId="09D3263B" w14:textId="77777777" w:rsidR="002440A9" w:rsidRPr="002440A9" w:rsidRDefault="002440A9" w:rsidP="002440A9">
      <w:pPr>
        <w:tabs>
          <w:tab w:val="left" w:pos="480"/>
          <w:tab w:val="left" w:pos="1200"/>
          <w:tab w:val="left" w:pos="1560"/>
        </w:tabs>
        <w:autoSpaceDE w:val="0"/>
        <w:autoSpaceDN w:val="0"/>
        <w:adjustRightInd w:val="0"/>
        <w:spacing w:after="0" w:line="240" w:lineRule="auto"/>
        <w:ind w:left="1560" w:hanging="840"/>
        <w:rPr>
          <w:rFonts w:ascii="Arial" w:eastAsia="Times New Roman" w:hAnsi="Arial" w:cs="Arial"/>
          <w:sz w:val="20"/>
          <w:szCs w:val="20"/>
        </w:rPr>
      </w:pPr>
    </w:p>
    <w:p w14:paraId="046E4F19" w14:textId="77777777" w:rsidR="002440A9" w:rsidRPr="002440A9" w:rsidRDefault="002440A9" w:rsidP="002440A9">
      <w:pPr>
        <w:tabs>
          <w:tab w:val="left" w:pos="480"/>
          <w:tab w:val="left" w:pos="1200"/>
          <w:tab w:val="left" w:pos="2760"/>
        </w:tabs>
        <w:autoSpaceDE w:val="0"/>
        <w:autoSpaceDN w:val="0"/>
        <w:adjustRightInd w:val="0"/>
        <w:spacing w:after="0" w:line="240" w:lineRule="auto"/>
        <w:ind w:left="2760" w:hanging="920"/>
        <w:rPr>
          <w:rFonts w:ascii="Arial" w:eastAsia="Times New Roman" w:hAnsi="Arial" w:cs="Arial"/>
          <w:sz w:val="20"/>
          <w:szCs w:val="20"/>
        </w:rPr>
      </w:pPr>
      <w:proofErr w:type="gramStart"/>
      <w:r w:rsidRPr="002440A9">
        <w:rPr>
          <w:rFonts w:ascii="Arial" w:eastAsia="Times New Roman" w:hAnsi="Arial" w:cs="Arial"/>
          <w:sz w:val="20"/>
          <w:szCs w:val="20"/>
        </w:rPr>
        <w:t xml:space="preserve">2.6.4.b  </w:t>
      </w:r>
      <w:r w:rsidRPr="002440A9">
        <w:rPr>
          <w:rFonts w:ascii="Arial" w:eastAsia="Times New Roman" w:hAnsi="Arial" w:cs="Arial"/>
          <w:sz w:val="20"/>
          <w:szCs w:val="20"/>
        </w:rPr>
        <w:tab/>
      </w:r>
      <w:proofErr w:type="gramEnd"/>
      <w:r w:rsidRPr="002440A9">
        <w:rPr>
          <w:rFonts w:ascii="Arial" w:eastAsia="Times New Roman" w:hAnsi="Arial" w:cs="Arial"/>
          <w:sz w:val="20"/>
          <w:szCs w:val="20"/>
        </w:rPr>
        <w:t>Meals included in the registration fee for a conference, seminar or other event are not to be claimed separately for reimbursement.</w:t>
      </w:r>
    </w:p>
    <w:p w14:paraId="16DD2543" w14:textId="77777777" w:rsidR="002440A9" w:rsidRPr="002440A9" w:rsidRDefault="002440A9" w:rsidP="002440A9">
      <w:pPr>
        <w:tabs>
          <w:tab w:val="left" w:pos="480"/>
          <w:tab w:val="left" w:pos="1200"/>
          <w:tab w:val="left" w:pos="1560"/>
        </w:tabs>
        <w:autoSpaceDE w:val="0"/>
        <w:autoSpaceDN w:val="0"/>
        <w:adjustRightInd w:val="0"/>
        <w:spacing w:after="0" w:line="240" w:lineRule="auto"/>
        <w:ind w:left="1560" w:hanging="840"/>
        <w:rPr>
          <w:rFonts w:ascii="Arial" w:eastAsia="Times New Roman" w:hAnsi="Arial" w:cs="Arial"/>
          <w:sz w:val="20"/>
          <w:szCs w:val="20"/>
        </w:rPr>
      </w:pPr>
    </w:p>
    <w:p w14:paraId="3CEB3124" w14:textId="77777777" w:rsidR="002440A9" w:rsidRPr="002440A9" w:rsidRDefault="002440A9" w:rsidP="002440A9">
      <w:pPr>
        <w:tabs>
          <w:tab w:val="left" w:pos="480"/>
          <w:tab w:val="left" w:pos="1200"/>
          <w:tab w:val="left" w:pos="2760"/>
        </w:tabs>
        <w:autoSpaceDE w:val="0"/>
        <w:autoSpaceDN w:val="0"/>
        <w:adjustRightInd w:val="0"/>
        <w:spacing w:after="0" w:line="240" w:lineRule="auto"/>
        <w:ind w:left="2760" w:hanging="920"/>
        <w:rPr>
          <w:rFonts w:ascii="Arial" w:eastAsia="Times New Roman" w:hAnsi="Arial" w:cs="Arial"/>
          <w:sz w:val="20"/>
          <w:szCs w:val="20"/>
        </w:rPr>
      </w:pPr>
      <w:r w:rsidRPr="002440A9">
        <w:rPr>
          <w:rFonts w:ascii="Arial" w:eastAsia="Times New Roman" w:hAnsi="Arial" w:cs="Arial"/>
          <w:sz w:val="20"/>
          <w:szCs w:val="20"/>
        </w:rPr>
        <w:t>2.6.4.c</w:t>
      </w:r>
      <w:r w:rsidRPr="002440A9">
        <w:rPr>
          <w:rFonts w:ascii="Arial" w:eastAsia="Times New Roman" w:hAnsi="Arial" w:cs="Arial"/>
          <w:sz w:val="20"/>
          <w:szCs w:val="20"/>
        </w:rPr>
        <w:tab/>
        <w:t>Expenses for non-employees who accompany the employee on a trip are not reimbursable.</w:t>
      </w:r>
    </w:p>
    <w:p w14:paraId="25C8F597" w14:textId="77777777" w:rsidR="002440A9" w:rsidRPr="002440A9" w:rsidRDefault="002440A9" w:rsidP="002440A9">
      <w:pPr>
        <w:tabs>
          <w:tab w:val="left" w:pos="480"/>
          <w:tab w:val="left" w:pos="1200"/>
          <w:tab w:val="left" w:pos="1560"/>
        </w:tabs>
        <w:autoSpaceDE w:val="0"/>
        <w:autoSpaceDN w:val="0"/>
        <w:adjustRightInd w:val="0"/>
        <w:spacing w:after="0" w:line="240" w:lineRule="auto"/>
        <w:ind w:left="1560" w:hanging="840"/>
        <w:rPr>
          <w:rFonts w:ascii="Arial" w:eastAsia="Times New Roman" w:hAnsi="Arial" w:cs="Arial"/>
          <w:sz w:val="20"/>
          <w:szCs w:val="20"/>
        </w:rPr>
      </w:pPr>
    </w:p>
    <w:p w14:paraId="29826E95" w14:textId="77777777" w:rsidR="002440A9" w:rsidRPr="002440A9" w:rsidRDefault="002440A9" w:rsidP="002440A9">
      <w:pPr>
        <w:tabs>
          <w:tab w:val="left" w:pos="480"/>
          <w:tab w:val="left" w:pos="1200"/>
          <w:tab w:val="left" w:pos="1725"/>
        </w:tabs>
        <w:autoSpaceDE w:val="0"/>
        <w:autoSpaceDN w:val="0"/>
        <w:adjustRightInd w:val="0"/>
        <w:spacing w:after="0" w:line="240" w:lineRule="auto"/>
        <w:ind w:left="1560" w:firstLine="280"/>
        <w:rPr>
          <w:rFonts w:ascii="Arial" w:eastAsia="Times New Roman" w:hAnsi="Arial" w:cs="Arial"/>
          <w:sz w:val="20"/>
          <w:szCs w:val="20"/>
        </w:rPr>
      </w:pPr>
      <w:r w:rsidRPr="002440A9">
        <w:rPr>
          <w:rFonts w:ascii="Arial" w:eastAsia="Times New Roman" w:hAnsi="Arial" w:cs="Arial"/>
          <w:sz w:val="20"/>
          <w:szCs w:val="20"/>
        </w:rPr>
        <w:t>2.6.4.d      Any expenditure for alcoholic beverages is not reimbursable.</w:t>
      </w:r>
    </w:p>
    <w:p w14:paraId="17ABCF8D" w14:textId="77777777" w:rsidR="002440A9" w:rsidRDefault="002440A9" w:rsidP="002440A9">
      <w:pPr>
        <w:tabs>
          <w:tab w:val="left" w:pos="480"/>
          <w:tab w:val="left" w:pos="1200"/>
          <w:tab w:val="left" w:pos="1560"/>
        </w:tabs>
        <w:autoSpaceDE w:val="0"/>
        <w:autoSpaceDN w:val="0"/>
        <w:adjustRightInd w:val="0"/>
        <w:spacing w:after="0" w:line="240" w:lineRule="auto"/>
        <w:ind w:left="1560" w:hanging="840"/>
        <w:rPr>
          <w:rFonts w:ascii="Arial" w:eastAsia="Times New Roman" w:hAnsi="Arial" w:cs="Arial"/>
          <w:sz w:val="20"/>
          <w:szCs w:val="20"/>
        </w:rPr>
      </w:pPr>
      <w:r w:rsidRPr="002440A9">
        <w:rPr>
          <w:rFonts w:ascii="Arial" w:eastAsia="Times New Roman" w:hAnsi="Arial" w:cs="Arial"/>
          <w:sz w:val="20"/>
          <w:szCs w:val="20"/>
        </w:rPr>
        <w:t xml:space="preserve"> </w:t>
      </w:r>
    </w:p>
    <w:p w14:paraId="5A4633D6" w14:textId="77777777" w:rsidR="002440A9" w:rsidRDefault="002440A9" w:rsidP="002440A9">
      <w:pPr>
        <w:tabs>
          <w:tab w:val="left" w:pos="480"/>
          <w:tab w:val="left" w:pos="1200"/>
          <w:tab w:val="left" w:pos="1560"/>
        </w:tabs>
        <w:autoSpaceDE w:val="0"/>
        <w:autoSpaceDN w:val="0"/>
        <w:adjustRightInd w:val="0"/>
        <w:spacing w:after="0" w:line="240" w:lineRule="auto"/>
        <w:ind w:left="1560" w:hanging="840"/>
        <w:rPr>
          <w:rFonts w:ascii="Arial" w:eastAsia="Times New Roman" w:hAnsi="Arial" w:cs="Arial"/>
          <w:sz w:val="20"/>
          <w:szCs w:val="20"/>
        </w:rPr>
      </w:pPr>
    </w:p>
    <w:p w14:paraId="2445B2C5" w14:textId="3F3DC81F" w:rsidR="002440A9" w:rsidRPr="002440A9" w:rsidRDefault="002440A9" w:rsidP="002440A9">
      <w:pPr>
        <w:tabs>
          <w:tab w:val="left" w:pos="480"/>
          <w:tab w:val="left" w:pos="1200"/>
          <w:tab w:val="left" w:pos="1560"/>
        </w:tabs>
        <w:autoSpaceDE w:val="0"/>
        <w:autoSpaceDN w:val="0"/>
        <w:adjustRightInd w:val="0"/>
        <w:spacing w:after="0" w:line="240" w:lineRule="auto"/>
        <w:ind w:left="1560" w:hanging="84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 xml:space="preserve">     </w:t>
      </w:r>
      <w:r w:rsidRPr="002440A9">
        <w:rPr>
          <w:rFonts w:ascii="Arial" w:eastAsia="Times New Roman" w:hAnsi="Arial" w:cs="Arial"/>
          <w:sz w:val="20"/>
          <w:szCs w:val="20"/>
        </w:rPr>
        <w:t>2.6.4.e      Any expenditure for entertainment is not reimbursable.</w:t>
      </w:r>
    </w:p>
    <w:p w14:paraId="20E7E298" w14:textId="77777777" w:rsidR="002440A9" w:rsidRPr="002440A9" w:rsidRDefault="002440A9" w:rsidP="002440A9">
      <w:pPr>
        <w:tabs>
          <w:tab w:val="left" w:pos="480"/>
          <w:tab w:val="left" w:pos="1200"/>
          <w:tab w:val="left" w:pos="1560"/>
        </w:tabs>
        <w:autoSpaceDE w:val="0"/>
        <w:autoSpaceDN w:val="0"/>
        <w:adjustRightInd w:val="0"/>
        <w:spacing w:after="0" w:line="240" w:lineRule="auto"/>
        <w:ind w:left="1560" w:firstLine="360"/>
        <w:rPr>
          <w:rFonts w:ascii="Arial" w:eastAsia="Times New Roman" w:hAnsi="Arial" w:cs="Arial"/>
          <w:sz w:val="20"/>
          <w:szCs w:val="20"/>
        </w:rPr>
      </w:pPr>
    </w:p>
    <w:p w14:paraId="072A8E34" w14:textId="77777777" w:rsidR="002440A9" w:rsidRDefault="002440A9" w:rsidP="002440A9">
      <w:pPr>
        <w:tabs>
          <w:tab w:val="left" w:pos="480"/>
          <w:tab w:val="left" w:pos="1200"/>
          <w:tab w:val="left" w:pos="1840"/>
        </w:tabs>
        <w:autoSpaceDE w:val="0"/>
        <w:autoSpaceDN w:val="0"/>
        <w:adjustRightInd w:val="0"/>
        <w:spacing w:after="0" w:line="240" w:lineRule="auto"/>
        <w:ind w:left="1840" w:hanging="690"/>
        <w:rPr>
          <w:rFonts w:ascii="Arial" w:eastAsia="Times New Roman" w:hAnsi="Arial" w:cs="Arial"/>
          <w:sz w:val="20"/>
          <w:szCs w:val="20"/>
        </w:rPr>
      </w:pPr>
    </w:p>
    <w:p w14:paraId="7AECAF71" w14:textId="403332A4" w:rsidR="002440A9" w:rsidRPr="002440A9" w:rsidRDefault="002440A9" w:rsidP="002440A9">
      <w:pPr>
        <w:tabs>
          <w:tab w:val="left" w:pos="480"/>
          <w:tab w:val="left" w:pos="1200"/>
          <w:tab w:val="left" w:pos="1840"/>
        </w:tabs>
        <w:autoSpaceDE w:val="0"/>
        <w:autoSpaceDN w:val="0"/>
        <w:adjustRightInd w:val="0"/>
        <w:spacing w:after="0" w:line="240" w:lineRule="auto"/>
        <w:ind w:left="1840" w:hanging="690"/>
        <w:rPr>
          <w:rFonts w:ascii="Arial" w:eastAsia="Times New Roman" w:hAnsi="Arial" w:cs="Arial"/>
          <w:sz w:val="20"/>
          <w:szCs w:val="20"/>
        </w:rPr>
      </w:pPr>
      <w:r w:rsidRPr="002440A9">
        <w:rPr>
          <w:rFonts w:ascii="Arial" w:eastAsia="Times New Roman" w:hAnsi="Arial" w:cs="Arial"/>
          <w:sz w:val="20"/>
          <w:szCs w:val="20"/>
        </w:rPr>
        <w:t>2.6.5</w:t>
      </w:r>
      <w:r w:rsidRPr="002440A9">
        <w:rPr>
          <w:rFonts w:ascii="Arial" w:eastAsia="Times New Roman" w:hAnsi="Arial" w:cs="Arial"/>
          <w:sz w:val="20"/>
          <w:szCs w:val="20"/>
        </w:rPr>
        <w:tab/>
      </w:r>
      <w:r w:rsidRPr="002440A9">
        <w:rPr>
          <w:rFonts w:ascii="Arial" w:eastAsia="Times New Roman" w:hAnsi="Arial" w:cs="Arial"/>
          <w:b/>
          <w:sz w:val="20"/>
          <w:szCs w:val="20"/>
        </w:rPr>
        <w:t xml:space="preserve">Meals at Local Meetings:  </w:t>
      </w:r>
      <w:r w:rsidRPr="002440A9">
        <w:rPr>
          <w:rFonts w:ascii="Arial" w:eastAsia="Times New Roman" w:hAnsi="Arial" w:cs="Arial"/>
          <w:sz w:val="20"/>
          <w:szCs w:val="20"/>
        </w:rPr>
        <w:t>Meals at local meetings, where attendance by the employee is required, will be provided at no charge to the employee.</w:t>
      </w:r>
    </w:p>
    <w:p w14:paraId="60C6012F" w14:textId="77777777" w:rsidR="00C068FD" w:rsidRDefault="00C068FD"/>
    <w:sectPr w:rsidR="00C06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24905"/>
    <w:multiLevelType w:val="multilevel"/>
    <w:tmpl w:val="3830E572"/>
    <w:lvl w:ilvl="0">
      <w:start w:val="2"/>
      <w:numFmt w:val="decimal"/>
      <w:lvlText w:val="%1"/>
      <w:lvlJc w:val="left"/>
      <w:pPr>
        <w:tabs>
          <w:tab w:val="num" w:pos="450"/>
        </w:tabs>
        <w:ind w:left="450" w:hanging="450"/>
      </w:pPr>
      <w:rPr>
        <w:rFonts w:hint="default"/>
        <w:b/>
      </w:rPr>
    </w:lvl>
    <w:lvl w:ilvl="1">
      <w:start w:val="6"/>
      <w:numFmt w:val="decimal"/>
      <w:lvlText w:val="%1.%2"/>
      <w:lvlJc w:val="left"/>
      <w:pPr>
        <w:tabs>
          <w:tab w:val="num" w:pos="1050"/>
        </w:tabs>
        <w:ind w:left="1050" w:hanging="450"/>
      </w:pPr>
      <w:rPr>
        <w:rFonts w:hint="default"/>
        <w:b/>
      </w:rPr>
    </w:lvl>
    <w:lvl w:ilvl="2">
      <w:start w:val="1"/>
      <w:numFmt w:val="decimal"/>
      <w:lvlText w:val="%1.%2.%3"/>
      <w:lvlJc w:val="left"/>
      <w:pPr>
        <w:tabs>
          <w:tab w:val="num" w:pos="1920"/>
        </w:tabs>
        <w:ind w:left="1920" w:hanging="720"/>
      </w:pPr>
      <w:rPr>
        <w:rFonts w:hint="default"/>
        <w:b w:val="0"/>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480"/>
        </w:tabs>
        <w:ind w:left="3480" w:hanging="1080"/>
      </w:pPr>
      <w:rPr>
        <w:rFonts w:hint="default"/>
        <w:b/>
      </w:rPr>
    </w:lvl>
    <w:lvl w:ilvl="5">
      <w:start w:val="1"/>
      <w:numFmt w:val="decimal"/>
      <w:lvlText w:val="%1.%2.%3.%4.%5.%6"/>
      <w:lvlJc w:val="left"/>
      <w:pPr>
        <w:tabs>
          <w:tab w:val="num" w:pos="4080"/>
        </w:tabs>
        <w:ind w:left="4080" w:hanging="1080"/>
      </w:pPr>
      <w:rPr>
        <w:rFonts w:hint="default"/>
        <w:b/>
      </w:rPr>
    </w:lvl>
    <w:lvl w:ilvl="6">
      <w:start w:val="1"/>
      <w:numFmt w:val="decimal"/>
      <w:lvlText w:val="%1.%2.%3.%4.%5.%6.%7"/>
      <w:lvlJc w:val="left"/>
      <w:pPr>
        <w:tabs>
          <w:tab w:val="num" w:pos="5040"/>
        </w:tabs>
        <w:ind w:left="5040" w:hanging="1440"/>
      </w:pPr>
      <w:rPr>
        <w:rFonts w:hint="default"/>
        <w:b/>
      </w:rPr>
    </w:lvl>
    <w:lvl w:ilvl="7">
      <w:start w:val="1"/>
      <w:numFmt w:val="decimal"/>
      <w:lvlText w:val="%1.%2.%3.%4.%5.%6.%7.%8"/>
      <w:lvlJc w:val="left"/>
      <w:pPr>
        <w:tabs>
          <w:tab w:val="num" w:pos="5640"/>
        </w:tabs>
        <w:ind w:left="5640" w:hanging="1440"/>
      </w:pPr>
      <w:rPr>
        <w:rFonts w:hint="default"/>
        <w:b/>
      </w:rPr>
    </w:lvl>
    <w:lvl w:ilvl="8">
      <w:start w:val="1"/>
      <w:numFmt w:val="decimal"/>
      <w:lvlText w:val="%1.%2.%3.%4.%5.%6.%7.%8.%9"/>
      <w:lvlJc w:val="left"/>
      <w:pPr>
        <w:tabs>
          <w:tab w:val="num" w:pos="6600"/>
        </w:tabs>
        <w:ind w:left="6600" w:hanging="1800"/>
      </w:pPr>
      <w:rPr>
        <w:rFonts w:hint="default"/>
        <w:b/>
      </w:rPr>
    </w:lvl>
  </w:abstractNum>
  <w:num w:numId="1" w16cid:durableId="1695692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A9"/>
    <w:rsid w:val="002440A9"/>
    <w:rsid w:val="00C0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68F9"/>
  <w15:chartTrackingRefBased/>
  <w15:docId w15:val="{91CADD7E-8396-4DF7-A04B-3FDA7754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Woods</dc:creator>
  <cp:keywords/>
  <dc:description/>
  <cp:lastModifiedBy>Dana Woods</cp:lastModifiedBy>
  <cp:revision>1</cp:revision>
  <dcterms:created xsi:type="dcterms:W3CDTF">2022-10-11T18:15:00Z</dcterms:created>
  <dcterms:modified xsi:type="dcterms:W3CDTF">2022-10-11T18:17:00Z</dcterms:modified>
</cp:coreProperties>
</file>